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val="pt-BR"/>
        </w:rPr>
        <w:t>REGULAMENTO DO CURSO DE GRADUAÇÃO EM ______________________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TÍTULO I – DO TURNO E GRAU ACADÊMICO</w:t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Art.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curso de graduação em ___________ da UFMG funcionará nos turnos ______________ e ______________.</w:t>
      </w:r>
    </w:p>
    <w:p>
      <w:pPr>
        <w:pStyle w:val="Normal"/>
        <w:spacing w:before="60" w:after="0"/>
        <w:jc w:val="both"/>
        <w:rPr/>
      </w:pPr>
      <w:r>
        <w:rPr/>
      </w:r>
    </w:p>
    <w:p>
      <w:pPr>
        <w:pStyle w:val="Normal"/>
        <w:spacing w:before="60" w:after="0"/>
        <w:jc w:val="both"/>
        <w:rPr>
          <w:color w:val="443205"/>
        </w:rPr>
      </w:pPr>
      <w:r>
        <w:rPr>
          <w:color w:val="443205"/>
          <w:lang w:val="pt-BR"/>
        </w:rPr>
        <w:t>§ 1</w:t>
      </w:r>
      <w:r>
        <w:rPr>
          <w:color w:val="443205"/>
          <w:u w:val="single"/>
          <w:vertAlign w:val="superscript"/>
          <w:lang w:val="pt-BR"/>
        </w:rPr>
        <w:t>o</w:t>
      </w:r>
      <w:r>
        <w:rPr>
          <w:color w:val="443205"/>
          <w:lang w:val="pt-BR"/>
        </w:rPr>
        <w:t xml:space="preserve"> ou Parágrafo único. </w:t>
      </w:r>
      <w:r>
        <w:rPr>
          <w:i/>
          <w:color w:val="443205"/>
          <w:lang w:val="pt-BR"/>
        </w:rPr>
        <w:t xml:space="preserve">No caso de haver previsão de oferta de atividades em outro turno de funcionamento a partir de um dado período curricular, essa informação deve estar aqui.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color w:val="443205"/>
          <w:lang w:val="pt-BR"/>
        </w:rPr>
        <w:t>§ 2</w:t>
      </w:r>
      <w:r>
        <w:rPr>
          <w:color w:val="443205"/>
          <w:u w:val="single"/>
          <w:vertAlign w:val="superscript"/>
          <w:lang w:val="pt-BR"/>
        </w:rPr>
        <w:t>o</w:t>
      </w:r>
      <w:r>
        <w:rPr>
          <w:color w:val="443205"/>
          <w:lang w:val="pt-BR"/>
        </w:rPr>
        <w:t xml:space="preserve"> </w:t>
      </w:r>
      <w:r>
        <w:rPr>
          <w:i/>
          <w:color w:val="443205"/>
          <w:lang w:val="pt-BR"/>
        </w:rPr>
        <w:t>Este parágrafo também pode ser usado para indicar possibilidade de atividades de natureza obrigatória, realizadas fora do período letivo definido no Calendário Escolar.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Observação: A definição do turno do curso deve estar de acordo com os termos da Resolução CEPE 07/2023, de 26/10/2023. </w:t>
      </w:r>
    </w:p>
    <w:p>
      <w:pPr>
        <w:pStyle w:val="Normal"/>
        <w:jc w:val="both"/>
        <w:rPr>
          <w:b/>
          <w:b/>
          <w:i/>
          <w:i/>
          <w:color w:val="808080"/>
          <w:lang w:val="pt-BR"/>
        </w:rPr>
      </w:pPr>
      <w:r>
        <w:rPr>
          <w:b/>
          <w:i/>
          <w:color w:val="808080"/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Art. 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curso de graduação em ___________ da UFMG confere o(s) grau(s) acadêmico(s) de Bacharelado em ___________  e Licenciatura em__________, de acordo com o art.6º  das Normas Gerais de Graduação.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§1º  O(s) grau(s) indicado (s) no caput do artigo, confere(m), respectivamente,  o(s) título(s) de ______________ e ________________.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Observações: </w:t>
      </w:r>
    </w:p>
    <w:p>
      <w:pPr>
        <w:pStyle w:val="Normal"/>
        <w:numPr>
          <w:ilvl w:val="0"/>
          <w:numId w:val="1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Os possíveis graus acadêmicos são: Bacharelado, Licenciatura e Superior de Tecnologia. Assim, para os cursos de denominação Superior em Tecnologia, substituir “Bacharelado” por “Superior de Tecnologia”. </w:t>
      </w:r>
    </w:p>
    <w:p>
      <w:pPr>
        <w:pStyle w:val="Normal"/>
        <w:numPr>
          <w:ilvl w:val="0"/>
          <w:numId w:val="1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Os cursos que ofertarem habilitações devem fazer essa indicação no caput do artigo, bem como no §1º, ao relacionar os títulos.</w:t>
      </w:r>
    </w:p>
    <w:p>
      <w:pPr>
        <w:pStyle w:val="Normal"/>
        <w:numPr>
          <w:ilvl w:val="0"/>
          <w:numId w:val="1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Os títulos referentes a cada curso são definidos de acordo com Informativo Prograd 021/2016.</w:t>
      </w:r>
    </w:p>
    <w:p>
      <w:pPr>
        <w:pStyle w:val="Normal"/>
        <w:numPr>
          <w:ilvl w:val="0"/>
          <w:numId w:val="1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Especificar nos parágrafos acima ou no caput, a especificidade de oferta de grau por turno.</w:t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TÍTULO II - DA ESTRUTURA CURRICULAR DO CURSO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CAPÍTULO  I – DOS PERCURSOS CURRICULARES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3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A estrutura curricular do curso de graduação em ___________ da UFMG é constituída pelos seguintes percursos curriculares: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 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§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percurso curricular padrão é dado pelo inciso I do presente artigo.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Os percursos curriculares dados pelos incisos ___, ____ e ____ são escolhidos por meio de processo seletivo para vagas iniciais.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O parágrafo 2</w:t>
      </w:r>
      <w:r>
        <w:rPr>
          <w:i/>
          <w:color w:val="000090"/>
          <w:u w:val="single"/>
          <w:vertAlign w:val="superscript"/>
          <w:lang w:val="pt-BR"/>
        </w:rPr>
        <w:t>o</w:t>
      </w:r>
      <w:r>
        <w:rPr>
          <w:i/>
          <w:color w:val="000090"/>
          <w:lang w:val="pt-BR"/>
        </w:rPr>
        <w:t xml:space="preserve"> refere-se aos cursos cujo acesso às modalidades de Bacharelado e Licenciatura ou às habilitações ocorre ainda no processo seletivo para vagas iniciais.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4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De acordo com o número de vagas estabelecido pelo Colegiado, é permitida ao(à) estudante a escolha de seu percurso curricular, ressalvando os percursos curriculares relacionados ao processo seletivo de vagas iniciais conforme o §2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do art. 3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>, até o final do ________ período letivo, considerando os seguintes critérios: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No caso de o percurso escolhido prever um núcleo complementar, o estudante deverá: a) apresentar, anexo ao pedido de mudança de percurso curricular, as informações sobre a estrutura formativa de formação complementar que será realizada, quando a decisão for por cursar uma das formações complementares ofertadas pela Instituição; ou b) apresentar, anexo ao pedido de mudança de percurso, um plano de estudos com a proposição de uma formação complementar, quando a decisão for por realizar uma formação do tipo aberta.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A negociação de vagas com os Departamentos Acadêmicos para o estudante realizar atividades acadêmicas curriculares, visando à integralização da formação complementar, do tipo aberta, fica sob a responsabilidade da Coordenação do Colegiado do Curso.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No caso de o percurso escolhido prever um núcleo avançado, devem ser observados os seguintes critérios além daqueles listados no §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:   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5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A mudança de percurso curricular poderá ser realizada até o final do ______ período letivo desde que observados os seguintes critérios, além daqueles listados do caput do Artigo 4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>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Parágrafo único. No caso de percurso que preveja núcleo complementar, a mudança de estrutura formativa de formação complementar ou de formação complementar do tipo aberta poderá ser feita até final do ____ período letivo.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CAPÍTULO  II – DO ESTÁGIO CURRICULAR, TRABALHO FINAL DE CURSO E INTEGRALIZAÇÃO DAS ATIVIDADES COMPLEMENTARES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Art. 6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Observadas as determinações da Lei </w:t>
      </w:r>
      <w:r>
        <w:rPr>
          <w:rStyle w:val="Ncoradanotaderodap"/>
          <w:lang w:val="pt-BR"/>
        </w:rPr>
        <w:footnoteReference w:id="2"/>
      </w:r>
      <w:r>
        <w:rPr>
          <w:lang w:val="pt-BR"/>
        </w:rPr>
        <w:t>que regulamenta o estágio de estudante e a Resolução</w:t>
      </w:r>
      <w:r>
        <w:rPr>
          <w:rStyle w:val="Ncoradanotaderodap"/>
          <w:lang w:val="pt-BR"/>
        </w:rPr>
        <w:footnoteReference w:id="3"/>
      </w:r>
      <w:r>
        <w:rPr>
          <w:lang w:val="pt-BR"/>
        </w:rPr>
        <w:t xml:space="preserve"> do Conselho de Ensino, Pesquisa e Extensão da UFMG que trata a matéria, o estágio curricular do curso de graduação _________________________, deve considerar as seguintes regras adicionais para a sua realização: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II -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Observação: Quando a decisão do curso for por </w:t>
      </w:r>
      <w:r>
        <w:rPr>
          <w:i/>
          <w:color w:val="000090"/>
          <w:u w:val="single"/>
          <w:lang w:val="pt-BR"/>
        </w:rPr>
        <w:t>não</w:t>
      </w:r>
      <w:r>
        <w:rPr>
          <w:i/>
          <w:color w:val="000090"/>
          <w:lang w:val="pt-BR"/>
        </w:rPr>
        <w:t xml:space="preserve"> fixar regras adicionais para a realização do estágio, pode ser adotada a seguinte redação: Art. XXX  A realização do estágio curricular (obrigatório ou optativo) do curso de graduação em _________________ observa as determinações da Lei N.11.788, de 25/09/2008, que regulamenta o estágio de estudante, bem com a Resolução CEPE XXX.  </w:t>
      </w:r>
    </w:p>
    <w:p>
      <w:pPr>
        <w:pStyle w:val="Normal"/>
        <w:spacing w:before="60" w:after="0"/>
        <w:jc w:val="both"/>
        <w:rPr/>
      </w:pPr>
      <w:r>
        <w:rPr/>
      </w:r>
    </w:p>
    <w:p>
      <w:pPr>
        <w:pStyle w:val="Normal"/>
        <w:spacing w:before="60" w:after="0"/>
        <w:jc w:val="both"/>
        <w:rPr/>
      </w:pPr>
      <w:r>
        <w:rPr/>
        <w:t>Art. 7</w:t>
      </w:r>
      <w:r>
        <w:rPr>
          <w:u w:val="single"/>
          <w:vertAlign w:val="superscript"/>
          <w:lang w:val="pt-BR"/>
        </w:rPr>
        <w:t>o</w:t>
      </w:r>
      <w:r>
        <w:rPr/>
        <w:t xml:space="preserve"> O Trabalho de Conclusão de Curso, conforme registra o Projeto Pedagógico do Curso,  constitui atividade acadêmica curricular obrigatória (ou optativa) para o estudante do curso de graduação _____________.  A sua realização deve observar as seguintes regras: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II -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8</w:t>
      </w:r>
      <w:r>
        <w:rPr>
          <w:u w:val="single"/>
          <w:vertAlign w:val="superscript"/>
          <w:lang w:val="pt-BR"/>
        </w:rPr>
        <w:t>o</w:t>
      </w:r>
      <w:r>
        <w:rPr/>
        <w:t xml:space="preserve"> A integralização das atividades complementares previstas no Projeto Pedagógico do Curso deve observar os seguintes critérios: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II -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Neste item devem ser discriminados os critérios que, via de regra, já se encontram definidos em Resolução do Colegiado, para a integralização de cada tipo de atividade complementar do curso (ex. iniciação científica, cursos de extensão, monitoria, publicações, etc), prevista no Projeto Pedagógico e, consequentemente, registrada na matriz curricular do curso. A proposta é que o Regulamento substitua a Resolução do Colegiado.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TÍTULO III – DA GESTÃO DO CURSO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jc w:val="both"/>
        <w:rPr/>
      </w:pPr>
      <w:r>
        <w:rPr>
          <w:i/>
          <w:color w:val="000090"/>
          <w:lang w:val="pt-BR"/>
        </w:rPr>
        <w:t xml:space="preserve">Observação: Considerar o disposto no art. 54 das NGG.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Art. 9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Colegiado do curso de graduação em _____ terá a seguinte composição: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 Coordenador;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II - Subcoordenador;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III - 0__ (</w:t>
      </w:r>
      <w:r>
        <w:rPr>
          <w:i/>
          <w:color w:val="404040"/>
          <w:lang w:val="pt-BR"/>
        </w:rPr>
        <w:t>por extenso</w:t>
      </w:r>
      <w:r>
        <w:rPr>
          <w:lang w:val="pt-BR"/>
        </w:rPr>
        <w:t>) docentes do Departamento de ________________;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IV - 0__ (</w:t>
      </w:r>
      <w:r>
        <w:rPr>
          <w:i/>
          <w:color w:val="404040"/>
          <w:lang w:val="pt-BR"/>
        </w:rPr>
        <w:t>por extenso</w:t>
      </w:r>
      <w:r>
        <w:rPr>
          <w:lang w:val="pt-BR"/>
        </w:rPr>
        <w:t>) docentes do Departamento de ________________;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V - 0__ (</w:t>
      </w:r>
      <w:r>
        <w:rPr>
          <w:i/>
          <w:color w:val="404040"/>
          <w:lang w:val="pt-BR"/>
        </w:rPr>
        <w:t>por extenso</w:t>
      </w:r>
      <w:r>
        <w:rPr>
          <w:lang w:val="pt-BR"/>
        </w:rPr>
        <w:t>) docentes do Departamento de ________________;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VI - 0__ (</w:t>
      </w:r>
      <w:r>
        <w:rPr>
          <w:i/>
          <w:color w:val="404040"/>
          <w:lang w:val="pt-BR"/>
        </w:rPr>
        <w:t>por extenso</w:t>
      </w:r>
      <w:r>
        <w:rPr>
          <w:lang w:val="pt-BR"/>
        </w:rPr>
        <w:t>) docentes indicados pela Congregação da _____________;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VII - representação discente, na forma prevista no Estatuto (Art. 78) e no Regimento Geral da UFMG (Art. 101, §§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ao 5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>).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color w:val="000000"/>
          <w:position w:val="0"/>
          <w:sz w:val="24"/>
          <w:sz w:val="24"/>
          <w:u w:val="none"/>
          <w:vertAlign w:val="baseline"/>
          <w:lang w:val="pt-BR"/>
        </w:rPr>
        <w:t>§1</w:t>
      </w:r>
      <w:r>
        <w:rPr>
          <w:color w:val="000000"/>
          <w:u w:val="none"/>
          <w:vertAlign w:val="superscript"/>
          <w:lang w:val="pt-BR"/>
        </w:rPr>
        <w:t>o</w:t>
      </w:r>
      <w:r>
        <w:rPr>
          <w:color w:val="000000"/>
          <w:position w:val="0"/>
          <w:sz w:val="24"/>
          <w:sz w:val="24"/>
          <w:u w:val="none"/>
          <w:vertAlign w:val="baseline"/>
          <w:lang w:val="pt-BR"/>
        </w:rPr>
        <w:t xml:space="preserve"> Os docentes previstos nos incisos I e II deste artigo serão eleitos pelo órgão, por maioria absoluta de votos, e terão mandato de 02 (dois) anos, permitida a recondução.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Os docentes previstos nos incisos III, IV e V deste artigo serão indicados, juntamente com os respectivos suplentes, pelas Câmaras Departamentais pertinentes, para cumprimento de mandato vinculado de 02 (dois) anos, permitida a recondução.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3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Os docentes previstos no inciso VI deste artigo serão indicados, juntamente com os respectivos suplentes, para cumprimento de mandato vinculado de 02 (dois) anos, permitida a recondução.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4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Quando o cálculo da representação discente resultar em fração, o número de representantes será o inteiro imediatamente superior, desde que esse número não ultrapasse 1/5 (um quinto) do total dos membros do órgão, já acrescido da representação.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§ 5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A escolha do Coordenador ou do Subcoordenador, quando recair sobre os membros do Colegiado, implicará na indicação de nova representação para recompô-lo.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Quando couber (caso das Unidades Acadêmicas FALE e ICA), o termo Departamento deverá ser substituído por “estrutura equivalente”.</w:t>
      </w:r>
    </w:p>
    <w:p>
      <w:pPr>
        <w:pStyle w:val="Normal"/>
        <w:spacing w:before="60" w:after="0"/>
        <w:jc w:val="both"/>
        <w:rPr>
          <w:i/>
          <w:i/>
          <w:color w:val="808080"/>
          <w:lang w:val="pt-BR"/>
        </w:rPr>
      </w:pPr>
      <w:r>
        <w:rPr>
          <w:i/>
          <w:color w:val="808080"/>
          <w:lang w:val="pt-BR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 xml:space="preserve">Art. 10 Até a eleição do primeiro Coordenador e do primeiro Subcoordenador do Colegiado, essas funções serão desempenhadas por Coordenador e Subcoordenador </w:t>
      </w:r>
      <w:r>
        <w:rPr>
          <w:i/>
          <w:lang w:val="pt-BR"/>
        </w:rPr>
        <w:t>pro tempore</w:t>
      </w:r>
      <w:r>
        <w:rPr>
          <w:lang w:val="pt-BR"/>
        </w:rPr>
        <w:t>, indicados pela Diretoria da ___________________.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Observação: Este artigo é relevante para cursos novos. 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11 Observadas as disposições da Resolução</w:t>
      </w:r>
      <w:r>
        <w:rPr>
          <w:rStyle w:val="Ncoradanotaderodap"/>
          <w:lang w:val="pt-BR"/>
        </w:rPr>
        <w:footnoteReference w:id="4"/>
      </w:r>
      <w:r>
        <w:rPr>
          <w:lang w:val="pt-BR"/>
        </w:rPr>
        <w:t xml:space="preserve"> do Conselho de Ensino, Pesquisa e Extensão que trata da composição e das atribuições do Núcleo Docente Estruturante (NDE), o NDE do curso de graduação em _____ terá a seguinte composição: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 Coordenador do Colegiado (membro nato);</w:t>
      </w:r>
    </w:p>
    <w:p>
      <w:pPr>
        <w:pStyle w:val="Normal"/>
        <w:spacing w:before="60" w:after="0"/>
        <w:jc w:val="both"/>
        <w:rPr>
          <w:highlight w:val="yellow"/>
        </w:rPr>
      </w:pPr>
      <w:r>
        <w:rPr>
          <w:lang w:val="pt-BR"/>
        </w:rPr>
        <w:t>II - 0__ (</w:t>
      </w:r>
      <w:r>
        <w:rPr>
          <w:i/>
          <w:color w:val="404040"/>
          <w:lang w:val="pt-BR"/>
        </w:rPr>
        <w:t>por extenso</w:t>
      </w:r>
      <w:r>
        <w:rPr>
          <w:lang w:val="pt-BR"/>
        </w:rPr>
        <w:t>) docentes dos Departamentos de ____________, ___________ e ___________.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§ 1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presidente do NDE será eleito pelo plenário, dentre seus membros, e terá mandato de 02 (dois anos), sendo permitida a recondução.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2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 mandato do presidente será inferior a 02 (dois) anos quando o mandato desse membro, no órgão colegiado, vier a encerrar-se antes desse prazo.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§ 3</w:t>
      </w:r>
      <w:r>
        <w:rPr>
          <w:u w:val="single"/>
          <w:vertAlign w:val="superscript"/>
          <w:lang w:val="pt-BR"/>
        </w:rPr>
        <w:t>o</w:t>
      </w:r>
      <w:r>
        <w:rPr>
          <w:lang w:val="pt-BR"/>
        </w:rPr>
        <w:t xml:space="preserve"> Os docentes previstos no inciso II serão eleitos pelo plenário do Colegiado do curso para cumprimento de mandato de 04 (quatro) anos, permitida a recondução, de acordo com edital emitido pelo Diretor da Unidade.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Quando couber (caso das Unidades Acadêmicas FALE e ICA), o termo Departamento deverá ser substituído por “estrutura equivalente”.</w:t>
      </w:r>
    </w:p>
    <w:p>
      <w:pPr>
        <w:pStyle w:val="Annotationtext"/>
        <w:rPr>
          <w:color w:val="000090"/>
          <w:lang w:val="pt-BR"/>
        </w:rPr>
      </w:pPr>
      <w:r>
        <w:rPr>
          <w:color w:val="000090"/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TÍTULO IV – DO REGIME ACADÊMICO</w:t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CAPÍTULO I – DO REQUERIMENTO DE MATRÍCULA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12 A matrícula do estudante deverá observar o seguinte número máximo de créditos por período letivo para cada um dos seguintes percursos curriculares: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 ___ créditos para o percurso _________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II - ___ créditos para o percurso _________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color w:val="443205"/>
          <w:lang w:val="pt-BR"/>
        </w:rPr>
        <w:t xml:space="preserve">Paragrafo único. </w:t>
      </w:r>
      <w:r>
        <w:rPr>
          <w:i/>
          <w:color w:val="443205"/>
          <w:lang w:val="pt-BR"/>
        </w:rPr>
        <w:t>Listar aqui eventuais atividades acadêmicas curriculares que não entram no cômputo acima. Por exemplo, alguns cursos não contabilizam a carga horária do Estágio Supervisionado (obrigatório) no total de créditos permitidos por período.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Considerar o disposto nos artigos 54 (inciso II) e 49 (</w:t>
      </w:r>
      <w:r>
        <w:rPr>
          <w:i/>
          <w:color w:val="000090"/>
          <w:sz w:val="20"/>
          <w:szCs w:val="20"/>
          <w:lang w:val="pt-BR"/>
        </w:rPr>
        <w:t xml:space="preserve">§ </w:t>
      </w:r>
      <w:r>
        <w:rPr>
          <w:i/>
          <w:color w:val="000090"/>
          <w:lang w:val="pt-BR"/>
        </w:rPr>
        <w:t>3</w:t>
      </w:r>
      <w:r>
        <w:rPr>
          <w:i/>
          <w:color w:val="000090"/>
          <w:u w:val="single"/>
          <w:vertAlign w:val="superscript"/>
          <w:lang w:val="pt-BR"/>
        </w:rPr>
        <w:t>o</w:t>
      </w:r>
      <w:r>
        <w:rPr>
          <w:i/>
          <w:color w:val="000090"/>
          <w:lang w:val="pt-BR"/>
        </w:rPr>
        <w:t>) das NGG.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Art. 13 Observadas as disposições da Resolução </w:t>
      </w:r>
      <w:r>
        <w:rPr>
          <w:rStyle w:val="Ncoradanotaderodap"/>
          <w:lang w:val="pt-BR"/>
        </w:rPr>
        <w:footnoteReference w:id="5"/>
      </w:r>
      <w:r>
        <w:rPr>
          <w:lang w:val="pt-BR"/>
        </w:rPr>
        <w:t>do Conselho de Ensino, Pesquisa e Extensão que trata da matrícula em atividades acadêmicas curriculares, deverão ser considerados os seguintes critérios adicionais para os estudantes do curso de graduação em _________: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Para esse item, considerar critérios de prioridade de matrícula previstos no SiGA e formular texto do Regulamento buscando subsídios nos artigos 54 (inciso III) e 94 das NGG.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>Art. 14</w:t>
      </w:r>
      <w:r>
        <w:rPr>
          <w:color w:val="000090"/>
          <w:lang w:val="pt-BR"/>
        </w:rPr>
        <w:t xml:space="preserve"> </w:t>
      </w:r>
      <w:r>
        <w:rPr>
          <w:lang w:val="pt-BR"/>
        </w:rPr>
        <w:t>A matrícula em atividade acadêmica curricular, com quebra de pré-requisito, poderá ser autorizada pelo Colegiado observados os seguintes critérios: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>I -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Observação: Para a elaboração deste item, sugerimos que sejam considerados, particularmente, os casos de estudantes que ingressarem no curso por meio das  modalidades de transferência, obtenção de novo título, reopção e continuidade de estudos e que poderão demandar a quebra de pré-requisito para conseguirem dar sequência ao curso.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CAPÍTULO II - DO TRANCAMENTO DE MATRÍCULA</w:t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15 Os requerimentos de trancamento parcial de matrícula com justificativa serão  apreciados pelo Colegiado do curso com base nos seguintes parâmetros: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I - Após deferimento dos requerimentos de trancamento parcial, o(a) estudante deverá permanecer matriculado em número igual ou maior de créditos ao valor mínimo previsto para o percurso curricular ao qual ele(a) estiver vinculado(a), ressalvando-se os casos de regimes acadêmicos especiais previstos no art. 102 das Normas Gerais de Graduação.</w:t>
      </w:r>
    </w:p>
    <w:p>
      <w:pPr>
        <w:pStyle w:val="Normal"/>
        <w:spacing w:before="60" w:after="0"/>
        <w:jc w:val="both"/>
        <w:rPr>
          <w:i/>
          <w:i/>
          <w:color w:val="808080"/>
          <w:lang w:val="pt-BR"/>
        </w:rPr>
      </w:pPr>
      <w:r>
        <w:rPr>
          <w:i w:val="false"/>
          <w:iCs w:val="false"/>
          <w:color w:val="000000"/>
          <w:lang w:val="pt-BR"/>
        </w:rPr>
        <w:t xml:space="preserve">II - </w:t>
      </w:r>
      <w:r>
        <w:rPr>
          <w:i/>
          <w:color w:val="000000"/>
          <w:lang w:val="pt-BR"/>
        </w:rPr>
        <w:t>Sugestão: Escrever outros parâmetros tomando como base o Ofício Prograd 017/1999.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cs="Cambria" w:ascii="Cambria" w:hAnsi="Cambria"/>
          <w:i/>
          <w:color w:val="000090"/>
          <w:sz w:val="24"/>
          <w:szCs w:val="24"/>
        </w:rPr>
        <w:t>Observação: Considerar o disposto no art. 97 das NGG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  <w:t>.</w:t>
      </w:r>
    </w:p>
    <w:p>
      <w:pPr>
        <w:pStyle w:val="Normal"/>
        <w:spacing w:before="60" w:after="0"/>
        <w:jc w:val="both"/>
        <w:rPr>
          <w:rFonts w:cs="Cambria"/>
          <w:i/>
          <w:i/>
          <w:color w:val="000090"/>
          <w:lang w:val="pt-BR" w:eastAsia="en-US"/>
        </w:rPr>
      </w:pPr>
      <w:r>
        <w:rPr>
          <w:rFonts w:cs="Cambria"/>
          <w:i/>
          <w:color w:val="000090"/>
          <w:lang w:val="pt-BR" w:eastAsia="en-US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16 Os requerimentos de trancamento total de matrícula com justificativa deverão ser apreciados pelo Colegiado do curso com base nos seguintes parâmetros: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 xml:space="preserve">II - 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cs="Cambria" w:ascii="Cambria" w:hAnsi="Cambria"/>
          <w:i/>
          <w:color w:val="000090"/>
          <w:sz w:val="24"/>
          <w:szCs w:val="24"/>
        </w:rPr>
        <w:t>Observação: Considerar o disposto nos artigos 54 (inciso V) e 96 (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  <w:t>§§ 2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u w:val="single"/>
          <w:vertAlign w:val="superscript"/>
          <w:lang w:eastAsia="en-US"/>
        </w:rPr>
        <w:t>o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  <w:t xml:space="preserve"> e 3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u w:val="single"/>
          <w:vertAlign w:val="superscript"/>
          <w:lang w:eastAsia="en-US"/>
        </w:rPr>
        <w:t>o</w:t>
      </w:r>
      <w:r>
        <w:rPr>
          <w:rFonts w:cs="Cambria" w:ascii="Cambria" w:hAnsi="Cambria"/>
          <w:i/>
          <w:color w:val="000090"/>
          <w:sz w:val="24"/>
          <w:szCs w:val="24"/>
        </w:rPr>
        <w:t>) das NGG</w:t>
      </w: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  <w:t>, bem como as disposições dos artigos 88 e 98 das NGG.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CAPÍTULO  III – DO APROVEITAMENTO DE ESTUDOS E DA COMPROVAÇÃO DE CONHECIMENTOS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>Art. 17  Para o(a) estudante que tiver deferida a solicitação de aproveitamento de atividades acadêmicas curriculares realizadas antes do seu ingresso no curso, devem ser considerados os seguintes parâmetros para formulação de seu plano de adaptação curricular: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/>
      </w:pPr>
      <w:r>
        <w:rPr>
          <w:i/>
          <w:color w:val="000090"/>
          <w:lang w:val="pt-BR"/>
        </w:rPr>
        <w:t>Observações: Nos incisos acima, sugere-se:</w:t>
      </w:r>
    </w:p>
    <w:p>
      <w:pPr>
        <w:pStyle w:val="Normal"/>
        <w:numPr>
          <w:ilvl w:val="0"/>
          <w:numId w:val="4"/>
        </w:numPr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Priorizar a matrícula nas atividades dos períodos inferiores;</w:t>
      </w:r>
    </w:p>
    <w:p>
      <w:pPr>
        <w:pStyle w:val="Normal"/>
        <w:numPr>
          <w:ilvl w:val="0"/>
          <w:numId w:val="4"/>
        </w:numPr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Flexibilizar número de períodos consecutivos nos primeiros semestres do aluno na universidade a fim de atender matrícula em número mínimo de créditos;</w:t>
      </w:r>
    </w:p>
    <w:p>
      <w:pPr>
        <w:pStyle w:val="Annotationtext"/>
        <w:numPr>
          <w:ilvl w:val="0"/>
          <w:numId w:val="4"/>
        </w:numPr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Observar o disposto na Resolução </w:t>
      </w:r>
      <w:r>
        <w:rPr>
          <w:rStyle w:val="Ncoradanotaderodap"/>
          <w:i/>
          <w:color w:val="000090"/>
          <w:lang w:val="pt-BR"/>
        </w:rPr>
        <w:footnoteReference w:id="6"/>
      </w:r>
      <w:r>
        <w:rPr>
          <w:i/>
          <w:color w:val="000090"/>
          <w:lang w:val="pt-BR"/>
        </w:rPr>
        <w:t xml:space="preserve">que trata do aproveitamento de estudos. </w:t>
      </w:r>
    </w:p>
    <w:p>
      <w:pPr>
        <w:pStyle w:val="Normal"/>
        <w:spacing w:before="60" w:after="0"/>
        <w:jc w:val="both"/>
        <w:rPr/>
      </w:pPr>
      <w:r>
        <w:rPr/>
      </w:r>
    </w:p>
    <w:p>
      <w:pPr>
        <w:pStyle w:val="Annotationtext"/>
        <w:jc w:val="both"/>
        <w:rPr/>
      </w:pPr>
      <w:r>
        <w:rPr>
          <w:lang w:val="pt-BR"/>
        </w:rPr>
        <w:t xml:space="preserve">Art. 18 Observadas as disposições da Resolução </w:t>
      </w:r>
      <w:r>
        <w:rPr>
          <w:rStyle w:val="Ncoradanotaderodap"/>
          <w:lang w:val="pt-BR"/>
        </w:rPr>
        <w:footnoteReference w:id="7"/>
      </w:r>
      <w:r>
        <w:rPr>
          <w:lang w:val="pt-BR"/>
        </w:rPr>
        <w:t xml:space="preserve">do Conselho de Ensino, Pesquisa e Extensão que trata do exame de comprovação de conhecimentos e do Projeto Pedagógico do Curso de Graduação em _____________, não será aplicado tal </w:t>
      </w:r>
      <w:r>
        <w:rPr>
          <w:i w:val="false"/>
          <w:iCs w:val="false"/>
          <w:color w:val="000000"/>
          <w:lang w:val="pt-BR"/>
        </w:rPr>
        <w:t>exame para as seguintes atividades acadêmicas curriculares:</w:t>
      </w:r>
    </w:p>
    <w:p>
      <w:pPr>
        <w:pStyle w:val="Annotationtext"/>
        <w:jc w:val="both"/>
        <w:rPr/>
      </w:pPr>
      <w:r>
        <w:rPr>
          <w:i w:val="false"/>
          <w:iCs w:val="false"/>
          <w:color w:val="000000"/>
          <w:lang w:val="pt-BR"/>
        </w:rPr>
        <w:t xml:space="preserve">a) </w:t>
      </w:r>
      <w:r>
        <w:rPr>
          <w:i/>
          <w:iCs/>
          <w:color w:val="000000"/>
          <w:lang w:val="pt-BR"/>
        </w:rPr>
        <w:t>Listar atividades</w:t>
      </w:r>
    </w:p>
    <w:p>
      <w:pPr>
        <w:pStyle w:val="Annotationtext"/>
        <w:numPr>
          <w:ilvl w:val="0"/>
          <w:numId w:val="0"/>
        </w:numPr>
        <w:ind w:left="720" w:hanging="0"/>
        <w:jc w:val="both"/>
        <w:rPr>
          <w:rFonts w:eastAsia="Cambria" w:cs="Cambria"/>
          <w:lang w:val="pt-BR"/>
        </w:rPr>
      </w:pPr>
      <w:r>
        <w:rPr>
          <w:rFonts w:eastAsia="Cambria" w:cs="Cambria"/>
          <w:lang w:val="pt-BR"/>
        </w:rPr>
        <w:t xml:space="preserve"> </w:t>
      </w:r>
    </w:p>
    <w:p>
      <w:pPr>
        <w:pStyle w:val="Annotationtext"/>
        <w:jc w:val="both"/>
        <w:rPr>
          <w:color w:val="000090"/>
          <w:lang w:val="pt-BR"/>
        </w:rPr>
      </w:pPr>
      <w:r>
        <w:rPr>
          <w:i/>
          <w:color w:val="000090"/>
          <w:lang w:val="pt-BR"/>
        </w:rPr>
        <w:t>Observação: Por meio de parágrafos, questões específicas sobre aplicação do exame de comprovação de conhecimento poderão ser regulamentadas aqui. No entanto, essas especificidades não podem contrariar as disposições superiores aprovadas.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eastAsia="MS Mincho;ＭＳ 明朝" w:cs="Cambria" w:ascii="Cambria" w:hAnsi="Cambria"/>
          <w:i/>
          <w:color w:val="000090"/>
          <w:sz w:val="24"/>
          <w:szCs w:val="24"/>
          <w:lang w:eastAsia="en-US"/>
        </w:rPr>
      </w:r>
    </w:p>
    <w:p>
      <w:pPr>
        <w:pStyle w:val="Normal"/>
        <w:spacing w:before="60" w:after="0"/>
        <w:jc w:val="center"/>
        <w:rPr>
          <w:lang w:val="pt-BR"/>
        </w:rPr>
      </w:pPr>
      <w:bookmarkStart w:id="0" w:name="_GoBack"/>
      <w:bookmarkEnd w:id="0"/>
      <w:r>
        <w:rPr>
          <w:lang w:val="pt-BR"/>
        </w:rPr>
        <w:t>TÍTULO V – DAS VAGAS REMANESCENTES E ADICIONAIS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Art. 19 Observadas as disposições da Resolução </w:t>
      </w:r>
      <w:r>
        <w:rPr>
          <w:rStyle w:val="Ncoradanotaderodap"/>
          <w:lang w:val="pt-BR"/>
        </w:rPr>
        <w:footnoteReference w:id="8"/>
      </w:r>
      <w:r>
        <w:rPr>
          <w:lang w:val="pt-BR"/>
        </w:rPr>
        <w:t xml:space="preserve">do Conselho de Ensino, Pesquisa e Extensão que trata do provimento de vagas remanescentes, deverão ser considerados os seguintes critérios adicionais, nesta ordem, para classificação dos requerimentos de mudança de turno:  </w:t>
      </w:r>
    </w:p>
    <w:p>
      <w:pPr>
        <w:pStyle w:val="Normal"/>
        <w:spacing w:before="60" w:after="0"/>
        <w:jc w:val="both"/>
        <w:rPr>
          <w:i/>
          <w:i/>
          <w:color w:val="808080"/>
          <w:lang w:val="pt-BR"/>
        </w:rPr>
      </w:pPr>
      <w:r>
        <w:rPr>
          <w:i w:val="false"/>
          <w:iCs w:val="false"/>
          <w:color w:val="000000"/>
          <w:lang w:val="pt-BR"/>
        </w:rPr>
        <w:t>I - Maior proporção do número de créditos integralizados no curso com relação ao número total de períodos letivos durante os quais o(a) estudante permaneceu com vínculo ativo na UFMG;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i w:val="false"/>
          <w:iCs w:val="false"/>
          <w:color w:val="000000"/>
          <w:lang w:val="pt-BR"/>
        </w:rPr>
        <w:t xml:space="preserve">II - </w:t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Parágrafo único.  Será permitido um máximo de ___ (</w:t>
      </w:r>
      <w:r>
        <w:rPr>
          <w:i/>
          <w:color w:val="595959"/>
          <w:lang w:val="pt-BR"/>
        </w:rPr>
        <w:t>por extenso</w:t>
      </w:r>
      <w:r>
        <w:rPr>
          <w:lang w:val="pt-BR"/>
        </w:rPr>
        <w:t>) ocorrências de mudança de turno durante toda vinculação do(a) estudante ao curso de graduação em __________.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cs="Cambria" w:ascii="Cambria" w:hAnsi="Cambria"/>
          <w:i/>
          <w:color w:val="000090"/>
          <w:sz w:val="24"/>
          <w:szCs w:val="24"/>
        </w:rPr>
        <w:t>Observação: Considerar o disposto nos artigos 54 (inciso VI) e 73 das NGG</w:t>
      </w:r>
      <w:r>
        <w:rPr>
          <w:color w:val="000090"/>
        </w:rPr>
        <w:t>.</w:t>
      </w:r>
    </w:p>
    <w:p>
      <w:pPr>
        <w:pStyle w:val="Normal"/>
        <w:spacing w:before="60" w:after="0"/>
        <w:jc w:val="both"/>
        <w:rPr>
          <w:rFonts w:cs="Cambria"/>
          <w:i/>
          <w:i/>
          <w:color w:val="000090"/>
          <w:lang w:val="pt-BR" w:eastAsia="en-US"/>
        </w:rPr>
      </w:pPr>
      <w:r>
        <w:rPr>
          <w:rFonts w:cs="Cambria"/>
          <w:i/>
          <w:color w:val="000090"/>
          <w:lang w:val="pt-BR" w:eastAsia="en-US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20 Observadas as disposições da Resolução do Conselho de Ensino, Pesquisa e Extensão que trata do provimento de vagas remanescentes, deverão ser considerados os seguintes critérios adicionais para classificação dos requerimentos de reopção para o curso de graduação em __________________: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color w:val="000000"/>
          <w:lang w:val="pt-BR"/>
        </w:rPr>
        <w:t>§ 1</w:t>
      </w:r>
      <w:r>
        <w:rPr>
          <w:color w:val="000000"/>
          <w:u w:val="single"/>
          <w:vertAlign w:val="superscript"/>
          <w:lang w:val="pt-BR"/>
        </w:rPr>
        <w:t>o</w:t>
      </w:r>
      <w:r>
        <w:rPr>
          <w:color w:val="000000"/>
          <w:lang w:val="pt-BR"/>
        </w:rPr>
        <w:t xml:space="preserve"> </w:t>
      </w:r>
      <w:r>
        <w:rPr>
          <w:i/>
          <w:color w:val="000000"/>
          <w:lang w:val="pt-BR"/>
        </w:rPr>
        <w:t>Atenção: O critério de afinidade de áreas para o curso de ____________ será baseado no cômputo do total de créditos de atividades acadêmicas curriculares de natureza obrigatória no curso de origem do requerente que são comuns ao curso de destino para o qual se solicita a reopção.</w:t>
      </w:r>
      <w:r>
        <w:rPr>
          <w:color w:val="000000"/>
          <w:lang w:val="pt-BR"/>
        </w:rPr>
        <w:t xml:space="preserve"> </w:t>
      </w:r>
    </w:p>
    <w:p>
      <w:pPr>
        <w:pStyle w:val="Normal"/>
        <w:spacing w:before="60" w:after="0"/>
        <w:jc w:val="both"/>
        <w:rPr>
          <w:i/>
          <w:i/>
          <w:color w:val="595959"/>
          <w:lang w:val="pt-BR"/>
        </w:rPr>
      </w:pPr>
      <w:r>
        <w:rPr>
          <w:color w:val="000000"/>
          <w:lang w:val="pt-BR"/>
        </w:rPr>
        <w:t>§ 2</w:t>
      </w:r>
      <w:r>
        <w:rPr>
          <w:color w:val="000000"/>
          <w:u w:val="single"/>
          <w:vertAlign w:val="superscript"/>
          <w:lang w:val="pt-BR"/>
        </w:rPr>
        <w:t>o</w:t>
      </w:r>
      <w:r>
        <w:rPr>
          <w:color w:val="000000"/>
          <w:lang w:val="pt-BR"/>
        </w:rPr>
        <w:t xml:space="preserve"> </w:t>
      </w:r>
      <w:r>
        <w:rPr>
          <w:i/>
          <w:color w:val="000000"/>
          <w:lang w:val="pt-BR"/>
        </w:rPr>
        <w:t>Se necessário, indicar aqui algum esclarecimento para cômputo do critério previsto no inciso II do art. 11 da Resolução sobre vagas remanescentes.</w:t>
      </w:r>
    </w:p>
    <w:p>
      <w:pPr>
        <w:pStyle w:val="GradeMdia1nfase21"/>
        <w:spacing w:before="60" w:after="0"/>
        <w:ind w:left="0" w:hanging="0"/>
        <w:contextualSpacing/>
        <w:jc w:val="both"/>
        <w:rPr>
          <w:rFonts w:ascii="Cambria" w:hAnsi="Cambria" w:eastAsia="MS Mincho;ＭＳ 明朝" w:cs="Cambria"/>
          <w:i/>
          <w:i/>
          <w:color w:val="000090"/>
          <w:sz w:val="24"/>
          <w:szCs w:val="24"/>
          <w:lang w:eastAsia="en-US"/>
        </w:rPr>
      </w:pPr>
      <w:r>
        <w:rPr>
          <w:rFonts w:cs="Cambria" w:ascii="Cambria" w:hAnsi="Cambria"/>
          <w:i/>
          <w:color w:val="000090"/>
          <w:sz w:val="24"/>
          <w:szCs w:val="24"/>
        </w:rPr>
        <w:t>Observação: Considerar o disposto nos artigos 54 (inciso VII) e 75 das NGG</w:t>
      </w:r>
      <w:r>
        <w:rPr>
          <w:color w:val="000090"/>
        </w:rPr>
        <w:t>.</w:t>
      </w:r>
    </w:p>
    <w:p>
      <w:pPr>
        <w:pStyle w:val="Normal"/>
        <w:spacing w:before="60" w:after="0"/>
        <w:jc w:val="both"/>
        <w:rPr>
          <w:rFonts w:cs="Cambria"/>
          <w:i/>
          <w:i/>
          <w:color w:val="000090"/>
          <w:lang w:val="pt-BR" w:eastAsia="en-US"/>
        </w:rPr>
      </w:pPr>
      <w:r>
        <w:rPr>
          <w:rFonts w:cs="Cambria"/>
          <w:i/>
          <w:color w:val="000090"/>
          <w:lang w:val="pt-BR" w:eastAsia="en-US"/>
        </w:rPr>
      </w:r>
    </w:p>
    <w:p>
      <w:pPr>
        <w:pStyle w:val="Normal"/>
        <w:spacing w:before="60" w:after="0"/>
        <w:jc w:val="both"/>
        <w:rPr/>
      </w:pPr>
      <w:r>
        <w:rPr>
          <w:lang w:val="pt-BR"/>
        </w:rPr>
        <w:t>Art. 21 Observadas as disposições da Resolução do Conselho de Ensino, Pesquisa e Extensão que trata do provimento de vagas remanescentes, deverão ser considerados os seguintes critérios adicionais para classificação dos requerimentos de continuidade de estudos visando à obtenção de novo diploma em _____________________ ou de nova habilitação em __________________: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 - </w:t>
      </w:r>
    </w:p>
    <w:p>
      <w:pPr>
        <w:pStyle w:val="Normal"/>
        <w:spacing w:before="60" w:after="0"/>
        <w:jc w:val="both"/>
        <w:rPr>
          <w:lang w:val="pt-BR"/>
        </w:rPr>
      </w:pPr>
      <w:r>
        <w:rPr>
          <w:lang w:val="pt-BR"/>
        </w:rPr>
        <w:t xml:space="preserve">II - </w:t>
      </w:r>
    </w:p>
    <w:p>
      <w:pPr>
        <w:pStyle w:val="Normal"/>
        <w:spacing w:before="60" w:after="0"/>
        <w:jc w:val="both"/>
        <w:rPr/>
      </w:pPr>
      <w:r>
        <w:rPr>
          <w:i/>
          <w:color w:val="000090"/>
          <w:lang w:val="pt-BR"/>
        </w:rPr>
        <w:t>Observações:</w:t>
      </w:r>
    </w:p>
    <w:p>
      <w:pPr>
        <w:pStyle w:val="Normal"/>
        <w:numPr>
          <w:ilvl w:val="0"/>
          <w:numId w:val="2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Se necessário, dividir esse artigo por diploma ou habilitação do curso. Para cursos com único diploma, basta indicar o grau conferido (por exemplo, Bacharelado em ______) no primeiro espaço indicado no caput deste artigo. </w:t>
      </w:r>
    </w:p>
    <w:p>
      <w:pPr>
        <w:pStyle w:val="Normal"/>
        <w:numPr>
          <w:ilvl w:val="0"/>
          <w:numId w:val="2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>Considerar o disposto nos artigos 54 (inciso VIII) e 74 das NGG.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lang w:val="pt-BR"/>
        </w:rPr>
        <w:t>Art. 22 Observadas as disposições da Resolução</w:t>
      </w:r>
      <w:r>
        <w:rPr>
          <w:rStyle w:val="Ncoradanotaderodap"/>
          <w:lang w:val="pt-BR"/>
        </w:rPr>
        <w:footnoteReference w:id="9"/>
      </w:r>
      <w:r>
        <w:rPr>
          <w:lang w:val="pt-BR"/>
        </w:rPr>
        <w:t xml:space="preserve"> do Conselho de Ensino, Pesquisa e Extensão que regulamenta </w:t>
      </w:r>
      <w:r>
        <w:rPr/>
        <w:t xml:space="preserve">o ingresso, como estudantes nos Cursos de Graduação da UFMG, de refugiados, asilados políticos, apátridas, portadores de visto temporário de acolhida humanitária, portadores de autorização de residência para fins de acolhida humanitária e outros imigrantes beneficiários de políticas humanitárias, serão disponibilizadas __________ vagas adicionais por ano </w:t>
      </w:r>
      <w:r>
        <w:rPr>
          <w:highlight w:val="yellow"/>
        </w:rPr>
        <w:t xml:space="preserve"> </w:t>
      </w:r>
      <w:r>
        <w:rPr/>
        <w:t xml:space="preserve">no curso de graduação em  _______________ para essa modalidade de ingresso. </w:t>
      </w:r>
    </w:p>
    <w:p>
      <w:pPr>
        <w:pStyle w:val="Normal"/>
        <w:spacing w:lineRule="auto" w:line="276" w:before="0" w:after="200"/>
        <w:jc w:val="both"/>
        <w:rPr/>
      </w:pPr>
      <w:r>
        <w:rPr>
          <w:i/>
          <w:color w:val="000090"/>
          <w:lang w:val="pt-BR"/>
        </w:rPr>
        <w:t>Observações:</w:t>
      </w:r>
    </w:p>
    <w:p>
      <w:pPr>
        <w:pStyle w:val="Normal"/>
        <w:numPr>
          <w:ilvl w:val="0"/>
          <w:numId w:val="2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A Resolução do CEPE determina que deve ser disponibilizada no mínimo 01 (uma) vaga para essa modalidade de ingresso. 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Caso o curso seja ofertado em mais de um turno, especificar o quantitativo de vagas por turno. </w:t>
      </w:r>
    </w:p>
    <w:p>
      <w:pPr>
        <w:pStyle w:val="Normal"/>
        <w:numPr>
          <w:ilvl w:val="0"/>
          <w:numId w:val="0"/>
        </w:numPr>
        <w:spacing w:lineRule="auto" w:line="276" w:before="60" w:after="0"/>
        <w:ind w:left="720" w:hanging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lang w:val="pt-BR"/>
        </w:rPr>
        <w:t>Art. 23</w:t>
      </w:r>
      <w:r>
        <w:rPr>
          <w:vertAlign w:val="superscript"/>
          <w:lang w:val="pt-BR"/>
        </w:rPr>
        <w:t xml:space="preserve"> </w:t>
      </w:r>
      <w:r>
        <w:rPr>
          <w:lang w:val="pt-BR"/>
        </w:rPr>
        <w:t>Serão disponibilizadas _______ vagas adicionais por ano para matrícula de estudantes convênio PEC-G e _______ vagas adicionais para matrícula de indígenas, exceto em casos excepcionais aprovados pelas</w:t>
      </w:r>
      <w:r>
        <w:rPr/>
        <w:t xml:space="preserve"> instâncias cabíveis. </w:t>
      </w:r>
    </w:p>
    <w:p>
      <w:pPr>
        <w:pStyle w:val="Normal"/>
        <w:spacing w:lineRule="auto" w:line="276" w:before="0" w:after="200"/>
        <w:jc w:val="both"/>
        <w:rPr/>
      </w:pPr>
      <w:r>
        <w:rPr>
          <w:i/>
          <w:color w:val="000090"/>
          <w:lang w:val="pt-BR"/>
        </w:rPr>
        <w:t>Observações:</w:t>
      </w:r>
    </w:p>
    <w:p>
      <w:pPr>
        <w:pStyle w:val="Normal"/>
        <w:numPr>
          <w:ilvl w:val="0"/>
          <w:numId w:val="2"/>
        </w:numPr>
        <w:spacing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 </w:t>
      </w:r>
      <w:r>
        <w:rPr>
          <w:i/>
          <w:color w:val="000090"/>
          <w:lang w:val="pt-BR"/>
        </w:rPr>
        <w:t>Não há Resolução do CEPE determinando obrigatoriedade quanto à indicação de vaga para estudantes convênio PEC-G, devendo ser levada em consideração a disponibilidade de recursos para esse fim. No caso de estudantes indígenas, deve ser garantida a oferta de, no mínimo, 02 (duas) vagas por ano.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left="284" w:hanging="284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  <w:t xml:space="preserve">Caso o curso seja ofertado em mais de um turno, especificar o quantitativo de vagas por turno. </w:t>
      </w:r>
    </w:p>
    <w:p>
      <w:pPr>
        <w:pStyle w:val="Normal"/>
        <w:spacing w:lineRule="auto" w:line="276" w:before="0" w:after="20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  <w:t>TÍTULO VI – DAS DISPOSIÇÕES FINAIS</w:t>
      </w:r>
    </w:p>
    <w:p>
      <w:pPr>
        <w:pStyle w:val="Normal"/>
        <w:spacing w:before="60" w:after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lang w:val="pt-BR"/>
        </w:rPr>
        <w:t xml:space="preserve">Art. 24 Este Regulamento entra em vigor nesta data, sendo revogadas as Resoluções _______, ________, e ______ e demais disposições em contrário. </w:t>
      </w:r>
    </w:p>
    <w:p>
      <w:pPr>
        <w:pStyle w:val="Normal"/>
        <w:spacing w:before="60" w:after="0"/>
        <w:jc w:val="both"/>
        <w:rPr>
          <w:i/>
          <w:i/>
          <w:color w:val="FF0000"/>
          <w:lang w:val="pt-BR"/>
        </w:rPr>
      </w:pPr>
      <w:r>
        <w:rPr>
          <w:i/>
          <w:color w:val="000090"/>
          <w:lang w:val="pt-BR"/>
        </w:rPr>
        <w:t>Observação: Listar todas as Resoluções do Colegiado</w:t>
      </w:r>
      <w:r>
        <w:rPr>
          <w:i/>
          <w:color w:val="000090"/>
          <w:u w:val="none"/>
          <w:lang w:val="pt-BR"/>
        </w:rPr>
        <w:t xml:space="preserve">, já que serão revogadas. </w:t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spacing w:before="60" w:after="0"/>
        <w:jc w:val="both"/>
        <w:rPr>
          <w:i/>
          <w:i/>
          <w:color w:val="000090"/>
          <w:lang w:val="pt-BR"/>
        </w:rPr>
      </w:pPr>
      <w:r>
        <w:rPr>
          <w:i/>
          <w:color w:val="000090"/>
          <w:u w:val="single"/>
          <w:lang w:val="pt-BR"/>
        </w:rPr>
        <w:t>Observações gerais</w:t>
      </w:r>
      <w:r>
        <w:rPr>
          <w:i/>
          <w:color w:val="000090"/>
          <w:lang w:val="pt-BR"/>
        </w:rPr>
        <w:t>: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 xml:space="preserve">Outras matérias poderão ser previstas no Regulamento de cada curso. Este modelo apresenta, apenas, algumas indicações que privilegiam, particularmente, matérias previstas nas novas NGG. 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>Para os cursos que fazem uso de Resoluções comuns da Congregação da respectiva Unidade Acadêmica sede, deverão ser previstos artigos fazendo referência ao assunto em questão. Por exemplo, sugere-se a redação: Art. X O ___________ (assunto) será regido por Resolução da Congregação da ______________.</w:t>
      </w:r>
    </w:p>
    <w:p>
      <w:pPr>
        <w:pStyle w:val="Normal"/>
        <w:spacing w:before="60" w:after="0"/>
        <w:ind w:left="284" w:hanging="284"/>
        <w:jc w:val="both"/>
        <w:rPr>
          <w:i/>
          <w:i/>
          <w:color w:val="000090"/>
          <w:highlight w:val="yellow"/>
          <w:u w:val="single"/>
          <w:lang w:val="pt-BR"/>
        </w:rPr>
      </w:pPr>
      <w:r>
        <w:rPr>
          <w:i/>
          <w:color w:val="000090"/>
          <w:highlight w:val="yellow"/>
          <w:u w:val="single"/>
          <w:lang w:val="pt-BR"/>
        </w:rPr>
      </w:r>
    </w:p>
    <w:p>
      <w:pPr>
        <w:pStyle w:val="Normal"/>
        <w:spacing w:before="60" w:after="0"/>
        <w:ind w:left="284" w:hanging="284"/>
        <w:jc w:val="both"/>
        <w:rPr/>
      </w:pPr>
      <w:r>
        <w:rPr>
          <w:i/>
          <w:color w:val="000090"/>
          <w:u w:val="single"/>
          <w:lang w:val="pt-BR"/>
        </w:rPr>
        <w:t>Princípios gerais a serem observados</w:t>
      </w:r>
      <w:r>
        <w:rPr>
          <w:i/>
          <w:color w:val="000090"/>
          <w:lang w:val="pt-BR"/>
        </w:rPr>
        <w:t>: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>
          <w:highlight w:val="yellow"/>
        </w:rPr>
      </w:pPr>
      <w:r>
        <w:rPr>
          <w:i/>
          <w:color w:val="000090"/>
          <w:lang w:val="pt-BR"/>
        </w:rPr>
        <w:t xml:space="preserve"> </w:t>
      </w:r>
      <w:r>
        <w:rPr>
          <w:i/>
          <w:color w:val="000090"/>
          <w:lang w:val="pt-BR"/>
        </w:rPr>
        <w:t xml:space="preserve">A proposta do Regulamento é substituir todas as Resoluções do Colegiado. 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>
          <w:highlight w:val="yellow"/>
        </w:rPr>
      </w:pPr>
      <w:r>
        <w:rPr>
          <w:i/>
          <w:color w:val="000090"/>
          <w:lang w:val="pt-BR"/>
        </w:rPr>
        <w:t>O Regulamento não pode estabelecer critérios conflitantes com as normativas da UFMG.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>
          <w:highlight w:val="yellow"/>
        </w:rPr>
      </w:pPr>
      <w:r>
        <w:rPr>
          <w:i/>
          <w:color w:val="000090"/>
          <w:lang w:val="pt-BR"/>
        </w:rPr>
        <w:t>O Regulamento não pode apresentar transcrição de conteúdos de Resoluções do CEPE ou do Conselho Universitário, mas pode, caso necessário, fazer referência a tais conteúdos.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>
          <w:highlight w:val="yellow"/>
        </w:rPr>
      </w:pPr>
      <w:r>
        <w:rPr>
          <w:i/>
          <w:color w:val="000090"/>
          <w:lang w:val="pt-BR"/>
        </w:rPr>
        <w:t>O Regulamento não pode estabelecer critérios mais restritivos do que aqueles indicados em Resoluções do CEPE ou do Conselho Universitário.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>O Regulamento não pode estabelecer critérios que dificultam o acesso aos Núcleos Formativos (por exemplo, exigir NSG mínima para vinculação a percurso com Núcleo Avançado).</w:t>
      </w:r>
    </w:p>
    <w:p>
      <w:pPr>
        <w:pStyle w:val="Normal"/>
        <w:spacing w:before="60" w:after="0"/>
        <w:ind w:left="284" w:hanging="284"/>
        <w:jc w:val="both"/>
        <w:rPr>
          <w:i/>
          <w:i/>
          <w:color w:val="000090"/>
          <w:highlight w:val="yellow"/>
          <w:lang w:val="pt-BR"/>
        </w:rPr>
      </w:pPr>
      <w:r>
        <w:rPr>
          <w:i/>
          <w:color w:val="000090"/>
          <w:highlight w:val="yellow"/>
          <w:lang w:val="pt-BR"/>
        </w:rPr>
      </w:r>
    </w:p>
    <w:p>
      <w:pPr>
        <w:pStyle w:val="Normal"/>
        <w:spacing w:before="60" w:after="0"/>
        <w:ind w:left="284" w:hanging="284"/>
        <w:jc w:val="both"/>
        <w:rPr/>
      </w:pPr>
      <w:r>
        <w:rPr>
          <w:i/>
          <w:color w:val="000090"/>
          <w:u w:val="single"/>
          <w:lang w:val="pt-BR"/>
        </w:rPr>
        <w:t>Pontos específicos a serem observados</w:t>
      </w:r>
      <w:r>
        <w:rPr>
          <w:i/>
          <w:color w:val="000090"/>
          <w:lang w:val="pt-BR"/>
        </w:rPr>
        <w:t>: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>Não se deve estabelecer critérios para trancamento parcial de matrícula sem justificativa.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 xml:space="preserve">Não se deve definir número máximo de trancamentos parciais ou totais com justificativa pelo mesmo motivo. 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 xml:space="preserve">Não se deve regulamentar mobilidade acadêmica, visto que o tema já é tratado em outras normativas da UFMG. </w:t>
      </w:r>
    </w:p>
    <w:p>
      <w:pPr>
        <w:pStyle w:val="Normal"/>
        <w:numPr>
          <w:ilvl w:val="0"/>
          <w:numId w:val="3"/>
        </w:numPr>
        <w:spacing w:before="60" w:after="0"/>
        <w:ind w:left="284" w:hanging="284"/>
        <w:jc w:val="both"/>
        <w:rPr/>
      </w:pPr>
      <w:r>
        <w:rPr>
          <w:i/>
          <w:color w:val="000090"/>
          <w:lang w:val="pt-BR"/>
        </w:rPr>
        <w:t xml:space="preserve">Não se deve definir fórmulas para cálculo do rendimento acadêmico, uma vez que tal rendimento já é calculado, na instituição, como Nota Semestral Global (NSG). </w:t>
      </w:r>
    </w:p>
    <w:p>
      <w:pPr>
        <w:pStyle w:val="Normal"/>
        <w:numPr>
          <w:ilvl w:val="0"/>
          <w:numId w:val="0"/>
        </w:numPr>
        <w:spacing w:before="60" w:after="0"/>
        <w:ind w:left="720" w:hanging="0"/>
        <w:jc w:val="both"/>
        <w:rPr>
          <w:i/>
          <w:i/>
          <w:color w:val="000090"/>
          <w:highlight w:val="yellow"/>
          <w:lang w:val="pt-BR"/>
        </w:rPr>
      </w:pPr>
      <w:r>
        <w:rPr>
          <w:i/>
          <w:color w:val="000090"/>
          <w:highlight w:val="yellow"/>
          <w:lang w:val="pt-BR"/>
        </w:rPr>
      </w:r>
    </w:p>
    <w:p>
      <w:pPr>
        <w:pStyle w:val="Normal"/>
        <w:spacing w:before="60" w:after="0"/>
        <w:ind w:left="284" w:hanging="284"/>
        <w:jc w:val="both"/>
        <w:rPr>
          <w:i/>
          <w:i/>
          <w:color w:val="000090"/>
          <w:highlight w:val="yellow"/>
          <w:lang w:val="pt-BR"/>
        </w:rPr>
      </w:pPr>
      <w:r>
        <w:rPr>
          <w:i/>
          <w:color w:val="000090"/>
          <w:highlight w:val="yellow"/>
          <w:lang w:val="pt-BR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60" w:after="0"/>
        <w:ind w:left="284" w:hanging="284"/>
        <w:jc w:val="both"/>
        <w:rPr>
          <w:i/>
          <w:i/>
          <w:color w:val="000090"/>
          <w:highlight w:val="yellow"/>
          <w:lang w:val="pt-BR"/>
        </w:rPr>
      </w:pPr>
      <w:r>
        <w:rPr>
          <w:i/>
          <w:color w:val="000090"/>
          <w:highlight w:val="yellow"/>
          <w:lang w:val="pt-BR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jc w:val="both"/>
        <w:rPr>
          <w:i/>
          <w:i/>
          <w:color w:val="000090"/>
          <w:lang w:val="pt-BR"/>
        </w:rPr>
      </w:pPr>
      <w:r>
        <w:rPr>
          <w:i/>
          <w:color w:val="000090"/>
          <w:lang w:val="pt-BR"/>
        </w:rPr>
      </w:r>
    </w:p>
    <w:p>
      <w:pPr>
        <w:pStyle w:val="Normal"/>
        <w:jc w:val="both"/>
        <w:rPr>
          <w:color w:val="000090"/>
          <w:lang w:val="pt-BR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Lei No 11.788, de 25/09/2008.</w:t>
      </w:r>
    </w:p>
  </w:footnote>
  <w:footnote w:id="3">
    <w:p>
      <w:pPr>
        <w:pStyle w:val="Notaderodap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Encontra-se em vigência a Resolução CEPE n</w:t>
      </w:r>
      <w:r>
        <w:rPr>
          <w:sz w:val="20"/>
          <w:szCs w:val="20"/>
          <w:vertAlign w:val="superscript"/>
        </w:rPr>
        <w:t>o</w:t>
      </w:r>
      <w:r>
        <w:rPr>
          <w:sz w:val="20"/>
          <w:szCs w:val="20"/>
        </w:rPr>
        <w:t xml:space="preserve"> 02/2009</w:t>
      </w:r>
    </w:p>
  </w:footnote>
  <w:footnote w:id="4">
    <w:p>
      <w:pPr>
        <w:pStyle w:val="Notaderodap"/>
        <w:rPr/>
      </w:pPr>
      <w:r>
        <w:rPr>
          <w:rStyle w:val="Caracteresdenotaderodap"/>
        </w:rPr>
        <w:footnoteRef/>
      </w:r>
      <w:r>
        <w:rPr>
          <w:rFonts w:eastAsia="Cambria" w:cs="Cambria"/>
          <w:sz w:val="20"/>
          <w:szCs w:val="20"/>
        </w:rPr>
        <w:t xml:space="preserve"> </w:t>
      </w:r>
      <w:r>
        <w:rPr>
          <w:color w:val="404040"/>
          <w:sz w:val="20"/>
          <w:szCs w:val="20"/>
        </w:rPr>
        <w:t xml:space="preserve">Encontra-se em vigência a </w:t>
      </w:r>
      <w:hyperlink r:id="rId1">
        <w:r>
          <w:rPr>
            <w:rStyle w:val="LinkdaInternet"/>
            <w:sz w:val="20"/>
            <w:szCs w:val="20"/>
          </w:rPr>
          <w:t>Resolução CEPE n</w:t>
        </w:r>
        <w:r>
          <w:rPr>
            <w:rStyle w:val="LinkdaInternet"/>
            <w:sz w:val="20"/>
            <w:szCs w:val="20"/>
            <w:vertAlign w:val="superscript"/>
          </w:rPr>
          <w:t>o</w:t>
        </w:r>
        <w:r>
          <w:rPr>
            <w:rStyle w:val="LinkdaInternet"/>
            <w:sz w:val="20"/>
            <w:szCs w:val="20"/>
          </w:rPr>
          <w:t xml:space="preserve"> 10/2018</w:t>
        </w:r>
      </w:hyperlink>
      <w:r>
        <w:rPr>
          <w:color w:val="404040"/>
          <w:sz w:val="20"/>
          <w:szCs w:val="20"/>
        </w:rPr>
        <w:t>.</w:t>
      </w:r>
    </w:p>
  </w:footnote>
  <w:footnote w:id="5">
    <w:p>
      <w:pPr>
        <w:pStyle w:val="Notaderodap"/>
        <w:rPr/>
      </w:pPr>
      <w:r>
        <w:rPr>
          <w:rStyle w:val="Caracteresdenotaderodap"/>
        </w:rPr>
        <w:footnoteRef/>
      </w:r>
      <w:r>
        <w:rPr>
          <w:rFonts w:eastAsia="Cambria" w:cs="Cambria"/>
        </w:rPr>
        <w:t xml:space="preserve"> </w:t>
      </w:r>
      <w:r>
        <w:rPr>
          <w:color w:val="404040"/>
          <w:sz w:val="20"/>
          <w:szCs w:val="20"/>
        </w:rPr>
        <w:t xml:space="preserve">Encontra-se em vigência a </w:t>
      </w:r>
      <w:hyperlink r:id="rId2">
        <w:r>
          <w:rPr>
            <w:rStyle w:val="LinkdaInternet"/>
            <w:sz w:val="20"/>
            <w:szCs w:val="20"/>
          </w:rPr>
          <w:t>Resolução CEPE n</w:t>
        </w:r>
        <w:r>
          <w:rPr>
            <w:rStyle w:val="LinkdaInternet"/>
            <w:sz w:val="20"/>
            <w:szCs w:val="20"/>
            <w:vertAlign w:val="superscript"/>
          </w:rPr>
          <w:t>o</w:t>
        </w:r>
        <w:r>
          <w:rPr>
            <w:rStyle w:val="LinkdaInternet"/>
            <w:sz w:val="20"/>
            <w:szCs w:val="20"/>
          </w:rPr>
          <w:t xml:space="preserve"> 01/2018</w:t>
        </w:r>
      </w:hyperlink>
      <w:r>
        <w:rPr>
          <w:color w:val="404040"/>
          <w:sz w:val="20"/>
          <w:szCs w:val="20"/>
        </w:rPr>
        <w:t xml:space="preserve">. </w:t>
      </w:r>
    </w:p>
  </w:footnote>
  <w:footnote w:id="6">
    <w:p>
      <w:pPr>
        <w:pStyle w:val="Notaderodap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Cambria" w:cs="Cambria"/>
          <w:color w:val="404040"/>
          <w:sz w:val="20"/>
          <w:szCs w:val="20"/>
        </w:rPr>
        <w:t xml:space="preserve"> </w:t>
      </w:r>
      <w:r>
        <w:rPr>
          <w:rFonts w:eastAsia="Cambria" w:cs="Cambria"/>
          <w:color w:val="404040"/>
          <w:sz w:val="20"/>
          <w:szCs w:val="20"/>
        </w:rPr>
        <w:t xml:space="preserve">Encontra-se em vigência a </w:t>
      </w:r>
      <w:hyperlink r:id="rId3">
        <w:r>
          <w:rPr>
            <w:sz w:val="20"/>
            <w:szCs w:val="20"/>
          </w:rPr>
          <w:t>Resolução CEPE no 06/2019.</w:t>
        </w:r>
      </w:hyperlink>
      <w:r>
        <w:rPr>
          <w:sz w:val="20"/>
          <w:szCs w:val="20"/>
        </w:rPr>
        <w:t xml:space="preserve"> </w:t>
      </w:r>
    </w:p>
  </w:footnote>
  <w:footnote w:id="7">
    <w:p>
      <w:pPr>
        <w:pStyle w:val="Notaderodap"/>
        <w:rPr>
          <w:color w:val="404040"/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Encontra-se em vigência a </w:t>
      </w:r>
      <w:hyperlink r:id="rId4">
        <w:r>
          <w:rPr>
            <w:sz w:val="20"/>
            <w:szCs w:val="20"/>
          </w:rPr>
          <w:t>Resolução CEPE no 04/2019.</w:t>
        </w:r>
      </w:hyperlink>
      <w:r>
        <w:rPr>
          <w:color w:val="404040"/>
          <w:sz w:val="20"/>
          <w:szCs w:val="20"/>
        </w:rPr>
        <w:t xml:space="preserve"> </w:t>
      </w:r>
    </w:p>
  </w:footnote>
  <w:footnote w:id="8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eastAsia="Cambria" w:cs="Cambria"/>
        </w:rPr>
        <w:t xml:space="preserve"> </w:t>
      </w:r>
      <w:r>
        <w:rPr>
          <w:color w:val="404040"/>
          <w:sz w:val="20"/>
          <w:szCs w:val="20"/>
        </w:rPr>
        <w:t xml:space="preserve">Encontra-se em vigência a </w:t>
      </w:r>
      <w:r>
        <w:rPr>
          <w:rStyle w:val="LinkdaInternet"/>
          <w:sz w:val="20"/>
          <w:szCs w:val="20"/>
        </w:rPr>
        <w:t>Resolução CEPE n</w:t>
      </w:r>
      <w:r>
        <w:rPr>
          <w:rStyle w:val="LinkdaInternet"/>
          <w:sz w:val="20"/>
          <w:szCs w:val="20"/>
          <w:vertAlign w:val="superscript"/>
        </w:rPr>
        <w:t>o</w:t>
      </w:r>
      <w:r>
        <w:rPr>
          <w:rStyle w:val="LinkdaInternet"/>
          <w:sz w:val="20"/>
          <w:szCs w:val="20"/>
        </w:rPr>
        <w:t xml:space="preserve"> 14/2018</w:t>
      </w:r>
      <w:r>
        <w:rPr>
          <w:color w:val="404040"/>
          <w:sz w:val="20"/>
          <w:szCs w:val="20"/>
        </w:rPr>
        <w:t xml:space="preserve">. </w:t>
      </w:r>
    </w:p>
  </w:footnote>
  <w:footnote w:id="9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>
          <w:color w:val="404040"/>
          <w:sz w:val="20"/>
          <w:szCs w:val="20"/>
        </w:rPr>
        <w:t xml:space="preserve">Encontra-se em vigência a </w:t>
      </w:r>
      <w:r>
        <w:rPr>
          <w:rStyle w:val="LinkdaInternet"/>
          <w:sz w:val="20"/>
          <w:szCs w:val="20"/>
        </w:rPr>
        <w:t>Resolução CEPE n</w:t>
      </w:r>
      <w:r>
        <w:rPr>
          <w:rStyle w:val="LinkdaInternet"/>
          <w:sz w:val="20"/>
          <w:szCs w:val="20"/>
          <w:vertAlign w:val="superscript"/>
        </w:rPr>
        <w:t>o</w:t>
      </w:r>
      <w:r>
        <w:rPr>
          <w:rStyle w:val="LinkdaInternet"/>
          <w:sz w:val="20"/>
          <w:szCs w:val="20"/>
        </w:rPr>
        <w:t xml:space="preserve"> 7/2019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color w:val="000090"/>
        <w:lang w:val="pt-BR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color w:val="000090"/>
        <w:lang w:val="pt-BR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  <w:color w:val="000090"/>
        <w:lang w:val="pt-BR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MS Mincho;ＭＳ 明朝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  <w:color w:val="000090"/>
      <w:lang w:val="pt-BR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  <w:color w:val="000090"/>
      <w:lang w:val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Symbol" w:hAnsi="Symbol" w:cs="Symbol"/>
      <w:color w:val="000090"/>
      <w:lang w:val="pt-BR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Cs w:val="20"/>
      <w:lang w:val="pt-BR"/>
    </w:rPr>
  </w:style>
  <w:style w:type="character" w:styleId="TextodebaloChar" w:customStyle="1">
    <w:name w:val="Texto de balão Char"/>
    <w:qFormat/>
    <w:rPr>
      <w:rFonts w:ascii="Lucida Grande" w:hAnsi="Lucida Grande" w:cs="Lucida Grande"/>
      <w:sz w:val="18"/>
      <w:szCs w:val="18"/>
    </w:rPr>
  </w:style>
  <w:style w:type="character" w:styleId="Annotationreference">
    <w:name w:val="annotation reference"/>
    <w:qFormat/>
    <w:rPr>
      <w:sz w:val="18"/>
      <w:szCs w:val="18"/>
    </w:rPr>
  </w:style>
  <w:style w:type="character" w:styleId="TextodecomentrioChar" w:customStyle="1">
    <w:name w:val="Texto de comentário Char"/>
    <w:basedOn w:val="DefaultParagraphFont"/>
    <w:qFormat/>
    <w:rPr/>
  </w:style>
  <w:style w:type="character" w:styleId="AssuntodocomentrioChar" w:customStyle="1">
    <w:name w:val="Assunto do comentário Char"/>
    <w:qFormat/>
    <w:rPr>
      <w:b/>
      <w:bCs/>
      <w:sz w:val="20"/>
      <w:szCs w:val="20"/>
    </w:rPr>
  </w:style>
  <w:style w:type="character" w:styleId="TextodenotaderodapChar" w:customStyle="1">
    <w:name w:val="Texto de nota de rodapé Char"/>
    <w:qFormat/>
    <w:rPr>
      <w:sz w:val="24"/>
      <w:szCs w:val="24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e7743"/>
    <w:rPr>
      <w:vertAlign w:val="superscript"/>
    </w:rPr>
  </w:style>
  <w:style w:type="character" w:styleId="LinkdaInternet">
    <w:name w:val="Link da Internet"/>
    <w:basedOn w:val="DefaultParagraphFont"/>
    <w:uiPriority w:val="99"/>
    <w:semiHidden/>
    <w:unhideWhenUsed/>
    <w:rsid w:val="00b2712f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EndnoteAnchor" w:customStyle="1">
    <w:name w:val="End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Strong">
    <w:name w:val="Strong"/>
    <w:basedOn w:val="DefaultParagraphFont"/>
    <w:uiPriority w:val="22"/>
    <w:qFormat/>
    <w:rsid w:val="00b2712f"/>
    <w:rPr>
      <w:b/>
      <w:bCs/>
    </w:rPr>
  </w:style>
  <w:style w:type="character" w:styleId="Ncoradanotaderodap">
    <w:name w:val="Âncora da nota de rodapé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GradeMdia1nfase21" w:customStyle="1">
    <w:name w:val="Grade Média 1 - Ênfase 21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Times New Roman"/>
      <w:sz w:val="20"/>
      <w:szCs w:val="20"/>
      <w:lang w:val="pt-BR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eastAsia="Times New Roman"/>
      <w:sz w:val="20"/>
      <w:szCs w:val="20"/>
      <w:lang w:val="pt-BR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  <w:lang w:val="pt-BR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  <w:sz w:val="20"/>
      <w:szCs w:val="20"/>
      <w:lang w:val="pt-BR"/>
    </w:rPr>
  </w:style>
  <w:style w:type="paragraph" w:styleId="ListaMdia2nfase21" w:customStyle="1">
    <w:name w:val="Lista Média 2 - Ênfase 21"/>
    <w:qFormat/>
    <w:pPr>
      <w:widowControl/>
      <w:bidi w:val="0"/>
      <w:spacing w:before="0" w:after="0"/>
      <w:jc w:val="left"/>
    </w:pPr>
    <w:rPr>
      <w:rFonts w:ascii="Cambria" w:hAnsi="Cambria" w:eastAsia="MS Mincho;ＭＳ 明朝" w:cs="Times New Roman"/>
      <w:color w:val="auto"/>
      <w:kern w:val="0"/>
      <w:sz w:val="24"/>
      <w:szCs w:val="24"/>
      <w:lang w:val="en-US" w:eastAsia="zh-CN" w:bidi="ar-SA"/>
    </w:rPr>
  </w:style>
  <w:style w:type="paragraph" w:styleId="Notaderodap">
    <w:name w:val="Footnote Text"/>
    <w:basedOn w:val="Normal"/>
    <w:pPr/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2.ufmg.br/sods/content/download/2301/15780/version/1/file/10rescepe2018+NDE.pdf" TargetMode="External"/><Relationship Id="rId2" Type="http://schemas.openxmlformats.org/officeDocument/2006/relationships/hyperlink" Target="https://www2.ufmg.br/sods/content/download/2311/15820/version/1/file/01rescepe2018+regulamenta+processo+matr&#237;cula.pdf" TargetMode="External"/><Relationship Id="rId3" Type="http://schemas.openxmlformats.org/officeDocument/2006/relationships/hyperlink" Target="https://www2.ufmg.br/sods/content/download/1990/14383/version/1/file/17rescepe2014.pdf" TargetMode="External"/><Relationship Id="rId4" Type="http://schemas.openxmlformats.org/officeDocument/2006/relationships/hyperlink" Target="https://www2.ufmg.br/sods/content/download/1990/14383/version/1/file/17rescepe2014.pdf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CA6E-2B39-4A30-8F29-087378F1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LibreOffice/6.4.0.3$Windows_X86_64 LibreOffice_project/b0a288ab3d2d4774cb44b62f04d5d28733ac6df8</Application>
  <Pages>9</Pages>
  <Words>2817</Words>
  <Characters>15605</Characters>
  <CharactersWithSpaces>18332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2020-05-12T14:32:00Z</dcterms:created>
  <dc:creator>Bruno Teixeira</dc:creator>
  <dc:description/>
  <dc:language>pt-BR</dc:language>
  <cp:lastModifiedBy/>
  <cp:lastPrinted>2018-08-17T09:16:00Z</cp:lastPrinted>
  <dcterms:modified xsi:type="dcterms:W3CDTF">2025-07-04T10:37:32Z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