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58" w:rsidRPr="009020D5" w:rsidRDefault="002B4126" w:rsidP="00E40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UNIVERSIDADE FEDERAL DE MINAS GERAIS</w:t>
      </w: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E40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20D5">
        <w:rPr>
          <w:rFonts w:ascii="Times New Roman" w:hAnsi="Times New Roman" w:cs="Times New Roman"/>
          <w:sz w:val="24"/>
          <w:szCs w:val="24"/>
        </w:rPr>
        <w:t xml:space="preserve">Relatório de atuação da </w:t>
      </w:r>
      <w:proofErr w:type="spellStart"/>
      <w:r w:rsidRPr="009020D5">
        <w:rPr>
          <w:rFonts w:ascii="Times New Roman" w:hAnsi="Times New Roman" w:cs="Times New Roman"/>
          <w:sz w:val="24"/>
          <w:szCs w:val="24"/>
        </w:rPr>
        <w:t>Ouvidoria-Geral</w:t>
      </w:r>
      <w:proofErr w:type="spellEnd"/>
      <w:r w:rsidRPr="009020D5">
        <w:rPr>
          <w:rFonts w:ascii="Times New Roman" w:hAnsi="Times New Roman" w:cs="Times New Roman"/>
          <w:sz w:val="24"/>
          <w:szCs w:val="24"/>
        </w:rPr>
        <w:t xml:space="preserve"> da UFMG</w:t>
      </w:r>
    </w:p>
    <w:bookmarkEnd w:id="0"/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26" w:rsidRPr="009020D5" w:rsidRDefault="002B4126" w:rsidP="00E40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Belo Horizonte</w:t>
      </w:r>
    </w:p>
    <w:p w:rsidR="002B4126" w:rsidRPr="009020D5" w:rsidRDefault="002B4126" w:rsidP="00E40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Março de 2019</w:t>
      </w:r>
    </w:p>
    <w:p w:rsidR="002B4126" w:rsidRPr="009020D5" w:rsidRDefault="002B4126" w:rsidP="00E40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4126" w:rsidRPr="009020D5" w:rsidRDefault="002B412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BF" w:rsidRPr="009020D5" w:rsidRDefault="00630DBF" w:rsidP="00800E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D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30DBF" w:rsidRPr="009020D5" w:rsidRDefault="00630DBF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DBF" w:rsidRPr="009020D5" w:rsidRDefault="00630DBF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O presente relatório tem como objetivo apresentar o desenvolvimento e o quadro atual de atuação da </w:t>
      </w:r>
      <w:proofErr w:type="spellStart"/>
      <w:r w:rsidRPr="009020D5">
        <w:rPr>
          <w:rFonts w:ascii="Times New Roman" w:hAnsi="Times New Roman" w:cs="Times New Roman"/>
          <w:sz w:val="24"/>
          <w:szCs w:val="24"/>
        </w:rPr>
        <w:t>Ouvidoria-Geral</w:t>
      </w:r>
      <w:proofErr w:type="spellEnd"/>
      <w:r w:rsidRPr="009020D5">
        <w:rPr>
          <w:rFonts w:ascii="Times New Roman" w:hAnsi="Times New Roman" w:cs="Times New Roman"/>
          <w:sz w:val="24"/>
          <w:szCs w:val="24"/>
        </w:rPr>
        <w:t xml:space="preserve"> da UFMG. Para tal, busca contextualizar, </w:t>
      </w:r>
      <w:r w:rsidR="006105F5" w:rsidRPr="009020D5">
        <w:rPr>
          <w:rFonts w:ascii="Times New Roman" w:hAnsi="Times New Roman" w:cs="Times New Roman"/>
          <w:sz w:val="24"/>
          <w:szCs w:val="24"/>
        </w:rPr>
        <w:t xml:space="preserve">temporalmente e </w:t>
      </w:r>
      <w:r w:rsidRPr="009020D5">
        <w:rPr>
          <w:rFonts w:ascii="Times New Roman" w:hAnsi="Times New Roman" w:cs="Times New Roman"/>
          <w:sz w:val="24"/>
          <w:szCs w:val="24"/>
        </w:rPr>
        <w:t>e</w:t>
      </w:r>
      <w:r w:rsidR="00EC4D7B" w:rsidRPr="009020D5">
        <w:rPr>
          <w:rFonts w:ascii="Times New Roman" w:hAnsi="Times New Roman" w:cs="Times New Roman"/>
          <w:sz w:val="24"/>
          <w:szCs w:val="24"/>
        </w:rPr>
        <w:t>m relação a outras instituições</w:t>
      </w:r>
      <w:r w:rsidR="006105F5" w:rsidRPr="009020D5">
        <w:rPr>
          <w:rFonts w:ascii="Times New Roman" w:hAnsi="Times New Roman" w:cs="Times New Roman"/>
          <w:sz w:val="24"/>
          <w:szCs w:val="24"/>
        </w:rPr>
        <w:t>,</w:t>
      </w:r>
      <w:r w:rsidR="00FB2D67" w:rsidRPr="009020D5">
        <w:rPr>
          <w:rFonts w:ascii="Times New Roman" w:hAnsi="Times New Roman" w:cs="Times New Roman"/>
          <w:sz w:val="24"/>
          <w:szCs w:val="24"/>
        </w:rPr>
        <w:t xml:space="preserve"> indicadores oficiais</w:t>
      </w:r>
      <w:r w:rsidRPr="009020D5">
        <w:rPr>
          <w:rFonts w:ascii="Times New Roman" w:hAnsi="Times New Roman" w:cs="Times New Roman"/>
          <w:sz w:val="24"/>
          <w:szCs w:val="24"/>
        </w:rPr>
        <w:t xml:space="preserve"> fornecidos pelo Governo Federal.</w:t>
      </w:r>
    </w:p>
    <w:p w:rsidR="00EC4D7B" w:rsidRPr="009020D5" w:rsidRDefault="003F51FE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Para este relatório, </w:t>
      </w:r>
      <w:r w:rsidR="004817D0" w:rsidRPr="009020D5">
        <w:rPr>
          <w:rFonts w:ascii="Times New Roman" w:hAnsi="Times New Roman" w:cs="Times New Roman"/>
          <w:sz w:val="24"/>
          <w:szCs w:val="24"/>
        </w:rPr>
        <w:t xml:space="preserve">o Serviço de Informação ao Cidadão </w:t>
      </w:r>
      <w:r w:rsidR="006105F5" w:rsidRPr="009020D5">
        <w:rPr>
          <w:rFonts w:ascii="Times New Roman" w:hAnsi="Times New Roman" w:cs="Times New Roman"/>
          <w:sz w:val="24"/>
          <w:szCs w:val="24"/>
        </w:rPr>
        <w:t xml:space="preserve">(SIC) </w:t>
      </w:r>
      <w:r w:rsidR="004817D0" w:rsidRPr="009020D5">
        <w:rPr>
          <w:rFonts w:ascii="Times New Roman" w:hAnsi="Times New Roman" w:cs="Times New Roman"/>
          <w:sz w:val="24"/>
          <w:szCs w:val="24"/>
        </w:rPr>
        <w:t xml:space="preserve">é considerado como parte da </w:t>
      </w:r>
      <w:proofErr w:type="spellStart"/>
      <w:r w:rsidR="004817D0" w:rsidRPr="009020D5">
        <w:rPr>
          <w:rFonts w:ascii="Times New Roman" w:hAnsi="Times New Roman" w:cs="Times New Roman"/>
          <w:sz w:val="24"/>
          <w:szCs w:val="24"/>
        </w:rPr>
        <w:t>Ouvidoria</w:t>
      </w:r>
      <w:r w:rsidR="00102AD0" w:rsidRPr="009020D5">
        <w:rPr>
          <w:rFonts w:ascii="Times New Roman" w:hAnsi="Times New Roman" w:cs="Times New Roman"/>
          <w:sz w:val="24"/>
          <w:szCs w:val="24"/>
        </w:rPr>
        <w:t>-Geral</w:t>
      </w:r>
      <w:proofErr w:type="spellEnd"/>
      <w:r w:rsidR="004817D0" w:rsidRPr="009020D5">
        <w:rPr>
          <w:rFonts w:ascii="Times New Roman" w:hAnsi="Times New Roman" w:cs="Times New Roman"/>
          <w:sz w:val="24"/>
          <w:szCs w:val="24"/>
        </w:rPr>
        <w:t xml:space="preserve">, em função </w:t>
      </w:r>
      <w:r w:rsidR="00102AD0" w:rsidRPr="009020D5">
        <w:rPr>
          <w:rFonts w:ascii="Times New Roman" w:hAnsi="Times New Roman" w:cs="Times New Roman"/>
          <w:sz w:val="24"/>
          <w:szCs w:val="24"/>
        </w:rPr>
        <w:t xml:space="preserve">da </w:t>
      </w:r>
      <w:r w:rsidR="00D02D4F" w:rsidRPr="009020D5">
        <w:rPr>
          <w:rFonts w:ascii="Times New Roman" w:hAnsi="Times New Roman" w:cs="Times New Roman"/>
          <w:sz w:val="24"/>
          <w:szCs w:val="24"/>
        </w:rPr>
        <w:t>Instrução Normativa n</w:t>
      </w:r>
      <w:r w:rsidR="00D02D4F" w:rsidRPr="009020D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02D4F" w:rsidRPr="009020D5">
        <w:rPr>
          <w:rFonts w:ascii="Times New Roman" w:hAnsi="Times New Roman" w:cs="Times New Roman"/>
          <w:sz w:val="24"/>
          <w:szCs w:val="24"/>
        </w:rPr>
        <w:t xml:space="preserve"> 5, de 18 de junho de 2018</w:t>
      </w:r>
      <w:r w:rsidR="00EC4D7B" w:rsidRPr="009020D5">
        <w:rPr>
          <w:rFonts w:ascii="Times New Roman" w:hAnsi="Times New Roman" w:cs="Times New Roman"/>
          <w:sz w:val="24"/>
          <w:szCs w:val="24"/>
        </w:rPr>
        <w:t>, do Ministério da Transparência e Controladoria-Geral da União/</w:t>
      </w:r>
      <w:proofErr w:type="spellStart"/>
      <w:r w:rsidR="00EC4D7B" w:rsidRPr="009020D5">
        <w:rPr>
          <w:rFonts w:ascii="Times New Roman" w:hAnsi="Times New Roman" w:cs="Times New Roman"/>
          <w:sz w:val="24"/>
          <w:szCs w:val="24"/>
        </w:rPr>
        <w:t>Ouvidoria-Geral</w:t>
      </w:r>
      <w:proofErr w:type="spellEnd"/>
      <w:r w:rsidR="00EC4D7B" w:rsidRPr="009020D5">
        <w:rPr>
          <w:rFonts w:ascii="Times New Roman" w:hAnsi="Times New Roman" w:cs="Times New Roman"/>
          <w:sz w:val="24"/>
          <w:szCs w:val="24"/>
        </w:rPr>
        <w:t xml:space="preserve"> da União, que, em seu Art. 4º., parágrafo VIII, estabelece que compete </w:t>
      </w:r>
      <w:r w:rsidR="001130DF" w:rsidRPr="009020D5">
        <w:rPr>
          <w:rFonts w:ascii="Times New Roman" w:hAnsi="Times New Roman" w:cs="Times New Roman"/>
          <w:sz w:val="24"/>
          <w:szCs w:val="24"/>
        </w:rPr>
        <w:t>às unidades da O</w:t>
      </w:r>
      <w:r w:rsidR="00EC4D7B" w:rsidRPr="009020D5">
        <w:rPr>
          <w:rFonts w:ascii="Times New Roman" w:hAnsi="Times New Roman" w:cs="Times New Roman"/>
          <w:sz w:val="24"/>
          <w:szCs w:val="24"/>
        </w:rPr>
        <w:t>uvidoria “exercer as atribuições do Serviço de Informação ao Cidadão (...), quando assim designadas”</w:t>
      </w:r>
      <w:r w:rsidR="00102AD0" w:rsidRPr="009020D5">
        <w:rPr>
          <w:rFonts w:ascii="Times New Roman" w:hAnsi="Times New Roman" w:cs="Times New Roman"/>
          <w:sz w:val="24"/>
          <w:szCs w:val="24"/>
        </w:rPr>
        <w:t xml:space="preserve">. </w:t>
      </w:r>
      <w:r w:rsidR="009801EF">
        <w:rPr>
          <w:rFonts w:ascii="Times New Roman" w:hAnsi="Times New Roman" w:cs="Times New Roman"/>
          <w:sz w:val="24"/>
          <w:szCs w:val="24"/>
        </w:rPr>
        <w:t>Por causa dos</w:t>
      </w:r>
      <w:r w:rsidR="00EC4D7B" w:rsidRPr="009020D5">
        <w:rPr>
          <w:rFonts w:ascii="Times New Roman" w:hAnsi="Times New Roman" w:cs="Times New Roman"/>
          <w:sz w:val="24"/>
          <w:szCs w:val="24"/>
        </w:rPr>
        <w:t xml:space="preserve"> dados que </w:t>
      </w:r>
      <w:r w:rsidR="009801EF">
        <w:rPr>
          <w:rFonts w:ascii="Times New Roman" w:hAnsi="Times New Roman" w:cs="Times New Roman"/>
          <w:sz w:val="24"/>
          <w:szCs w:val="24"/>
        </w:rPr>
        <w:t xml:space="preserve">compõe o relatório </w:t>
      </w:r>
      <w:r w:rsidR="001130DF" w:rsidRPr="009020D5">
        <w:rPr>
          <w:rFonts w:ascii="Times New Roman" w:hAnsi="Times New Roman" w:cs="Times New Roman"/>
          <w:sz w:val="24"/>
          <w:szCs w:val="24"/>
        </w:rPr>
        <w:t>e</w:t>
      </w:r>
      <w:r w:rsidR="009801EF">
        <w:rPr>
          <w:rFonts w:ascii="Times New Roman" w:hAnsi="Times New Roman" w:cs="Times New Roman"/>
          <w:sz w:val="24"/>
          <w:szCs w:val="24"/>
        </w:rPr>
        <w:t xml:space="preserve"> de</w:t>
      </w:r>
      <w:r w:rsidR="001130DF" w:rsidRPr="009020D5">
        <w:rPr>
          <w:rFonts w:ascii="Times New Roman" w:hAnsi="Times New Roman" w:cs="Times New Roman"/>
          <w:sz w:val="24"/>
          <w:szCs w:val="24"/>
        </w:rPr>
        <w:t xml:space="preserve"> tal normativa</w:t>
      </w:r>
      <w:r w:rsidR="00EC4D7B" w:rsidRPr="009020D5">
        <w:rPr>
          <w:rFonts w:ascii="Times New Roman" w:hAnsi="Times New Roman" w:cs="Times New Roman"/>
          <w:sz w:val="24"/>
          <w:szCs w:val="24"/>
        </w:rPr>
        <w:t xml:space="preserve">, </w:t>
      </w:r>
      <w:r w:rsidR="009801EF">
        <w:rPr>
          <w:rFonts w:ascii="Times New Roman" w:hAnsi="Times New Roman" w:cs="Times New Roman"/>
          <w:sz w:val="24"/>
          <w:szCs w:val="24"/>
        </w:rPr>
        <w:t>se entende</w:t>
      </w:r>
      <w:r w:rsidR="00EC4D7B" w:rsidRPr="009020D5">
        <w:rPr>
          <w:rFonts w:ascii="Times New Roman" w:hAnsi="Times New Roman" w:cs="Times New Roman"/>
          <w:sz w:val="24"/>
          <w:szCs w:val="24"/>
        </w:rPr>
        <w:t xml:space="preserve"> que Ouvidoria e SIC têm sido vistos conjuntamente pelo Governo Federal.</w:t>
      </w:r>
    </w:p>
    <w:p w:rsidR="00630DBF" w:rsidRPr="009020D5" w:rsidRDefault="00873F1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Assim</w:t>
      </w:r>
      <w:r w:rsidR="00102AD0" w:rsidRPr="009020D5">
        <w:rPr>
          <w:rFonts w:ascii="Times New Roman" w:hAnsi="Times New Roman" w:cs="Times New Roman"/>
          <w:sz w:val="24"/>
          <w:szCs w:val="24"/>
        </w:rPr>
        <w:t xml:space="preserve">, o </w:t>
      </w:r>
      <w:r w:rsidR="00505EC9" w:rsidRPr="009020D5">
        <w:rPr>
          <w:rFonts w:ascii="Times New Roman" w:hAnsi="Times New Roman" w:cs="Times New Roman"/>
          <w:sz w:val="24"/>
          <w:szCs w:val="24"/>
        </w:rPr>
        <w:t>documento</w:t>
      </w:r>
      <w:r w:rsidR="00102AD0" w:rsidRPr="009020D5">
        <w:rPr>
          <w:rFonts w:ascii="Times New Roman" w:hAnsi="Times New Roman" w:cs="Times New Roman"/>
          <w:sz w:val="24"/>
          <w:szCs w:val="24"/>
        </w:rPr>
        <w:t xml:space="preserve"> se encontra dividido em </w:t>
      </w:r>
      <w:r w:rsidR="006451B1">
        <w:rPr>
          <w:rFonts w:ascii="Times New Roman" w:hAnsi="Times New Roman" w:cs="Times New Roman"/>
          <w:sz w:val="24"/>
          <w:szCs w:val="24"/>
        </w:rPr>
        <w:t>três</w:t>
      </w:r>
      <w:r w:rsidR="00102AD0" w:rsidRPr="009020D5">
        <w:rPr>
          <w:rFonts w:ascii="Times New Roman" w:hAnsi="Times New Roman" w:cs="Times New Roman"/>
          <w:sz w:val="24"/>
          <w:szCs w:val="24"/>
        </w:rPr>
        <w:t xml:space="preserve"> partes: a primeira diz respeito à atuação </w:t>
      </w:r>
      <w:r w:rsidR="00505EC9" w:rsidRPr="009020D5">
        <w:rPr>
          <w:rFonts w:ascii="Times New Roman" w:hAnsi="Times New Roman" w:cs="Times New Roman"/>
          <w:sz w:val="24"/>
          <w:szCs w:val="24"/>
        </w:rPr>
        <w:t xml:space="preserve">originalmente vista </w:t>
      </w:r>
      <w:r w:rsidR="00102AD0" w:rsidRPr="009020D5">
        <w:rPr>
          <w:rFonts w:ascii="Times New Roman" w:hAnsi="Times New Roman" w:cs="Times New Roman"/>
          <w:sz w:val="24"/>
          <w:szCs w:val="24"/>
        </w:rPr>
        <w:t xml:space="preserve">como </w:t>
      </w:r>
      <w:r w:rsidR="00505EC9" w:rsidRPr="009020D5">
        <w:rPr>
          <w:rFonts w:ascii="Times New Roman" w:hAnsi="Times New Roman" w:cs="Times New Roman"/>
          <w:sz w:val="24"/>
          <w:szCs w:val="24"/>
        </w:rPr>
        <w:t xml:space="preserve">da </w:t>
      </w:r>
      <w:r w:rsidR="00102AD0" w:rsidRPr="009020D5">
        <w:rPr>
          <w:rFonts w:ascii="Times New Roman" w:hAnsi="Times New Roman" w:cs="Times New Roman"/>
          <w:sz w:val="24"/>
          <w:szCs w:val="24"/>
        </w:rPr>
        <w:t xml:space="preserve">Ouvidoria; a segunda parte </w:t>
      </w:r>
      <w:r w:rsidR="00505EC9" w:rsidRPr="009020D5">
        <w:rPr>
          <w:rFonts w:ascii="Times New Roman" w:hAnsi="Times New Roman" w:cs="Times New Roman"/>
          <w:sz w:val="24"/>
          <w:szCs w:val="24"/>
        </w:rPr>
        <w:t>se refere</w:t>
      </w:r>
      <w:r w:rsidR="00102AD0" w:rsidRPr="009020D5">
        <w:rPr>
          <w:rFonts w:ascii="Times New Roman" w:hAnsi="Times New Roman" w:cs="Times New Roman"/>
          <w:sz w:val="24"/>
          <w:szCs w:val="24"/>
        </w:rPr>
        <w:t xml:space="preserve"> ao Serviço de Informação </w:t>
      </w:r>
      <w:r w:rsidR="00505EC9" w:rsidRPr="009020D5">
        <w:rPr>
          <w:rFonts w:ascii="Times New Roman" w:hAnsi="Times New Roman" w:cs="Times New Roman"/>
          <w:sz w:val="24"/>
          <w:szCs w:val="24"/>
        </w:rPr>
        <w:t>ao Cidadão (SIC)</w:t>
      </w:r>
      <w:r w:rsidR="006451B1">
        <w:rPr>
          <w:rFonts w:ascii="Times New Roman" w:hAnsi="Times New Roman" w:cs="Times New Roman"/>
          <w:sz w:val="24"/>
          <w:szCs w:val="24"/>
        </w:rPr>
        <w:t xml:space="preserve">; a terceira aponta </w:t>
      </w:r>
      <w:r w:rsidR="00CA423E">
        <w:rPr>
          <w:rFonts w:ascii="Times New Roman" w:hAnsi="Times New Roman" w:cs="Times New Roman"/>
          <w:sz w:val="24"/>
          <w:szCs w:val="24"/>
        </w:rPr>
        <w:t xml:space="preserve">brevemente </w:t>
      </w:r>
      <w:r w:rsidR="006451B1">
        <w:rPr>
          <w:rFonts w:ascii="Times New Roman" w:hAnsi="Times New Roman" w:cs="Times New Roman"/>
          <w:sz w:val="24"/>
          <w:szCs w:val="24"/>
        </w:rPr>
        <w:t>perspectivas para</w:t>
      </w:r>
      <w:r w:rsidR="001D5C67">
        <w:rPr>
          <w:rFonts w:ascii="Times New Roman" w:hAnsi="Times New Roman" w:cs="Times New Roman"/>
          <w:sz w:val="24"/>
          <w:szCs w:val="24"/>
        </w:rPr>
        <w:t xml:space="preserve"> o trabal</w:t>
      </w:r>
      <w:r w:rsidR="003F1AD3">
        <w:rPr>
          <w:rFonts w:ascii="Times New Roman" w:hAnsi="Times New Roman" w:cs="Times New Roman"/>
          <w:sz w:val="24"/>
          <w:szCs w:val="24"/>
        </w:rPr>
        <w:t xml:space="preserve">ho </w:t>
      </w:r>
      <w:r w:rsidR="00CA423E">
        <w:rPr>
          <w:rFonts w:ascii="Times New Roman" w:hAnsi="Times New Roman" w:cs="Times New Roman"/>
          <w:sz w:val="24"/>
          <w:szCs w:val="24"/>
        </w:rPr>
        <w:t xml:space="preserve">relacionado à </w:t>
      </w:r>
      <w:r w:rsidR="003F1AD3">
        <w:rPr>
          <w:rFonts w:ascii="Times New Roman" w:hAnsi="Times New Roman" w:cs="Times New Roman"/>
          <w:sz w:val="24"/>
          <w:szCs w:val="24"/>
        </w:rPr>
        <w:t>Ou</w:t>
      </w:r>
      <w:r w:rsidR="001D5C67">
        <w:rPr>
          <w:rFonts w:ascii="Times New Roman" w:hAnsi="Times New Roman" w:cs="Times New Roman"/>
          <w:sz w:val="24"/>
          <w:szCs w:val="24"/>
        </w:rPr>
        <w:t>vidoria</w:t>
      </w:r>
      <w:r w:rsidR="003F1AD3">
        <w:rPr>
          <w:rFonts w:ascii="Times New Roman" w:hAnsi="Times New Roman" w:cs="Times New Roman"/>
          <w:sz w:val="24"/>
          <w:szCs w:val="24"/>
        </w:rPr>
        <w:t xml:space="preserve"> e </w:t>
      </w:r>
      <w:r w:rsidR="00CA423E">
        <w:rPr>
          <w:rFonts w:ascii="Times New Roman" w:hAnsi="Times New Roman" w:cs="Times New Roman"/>
          <w:sz w:val="24"/>
          <w:szCs w:val="24"/>
        </w:rPr>
        <w:t xml:space="preserve">ao </w:t>
      </w:r>
      <w:r w:rsidR="003F1AD3">
        <w:rPr>
          <w:rFonts w:ascii="Times New Roman" w:hAnsi="Times New Roman" w:cs="Times New Roman"/>
          <w:sz w:val="24"/>
          <w:szCs w:val="24"/>
        </w:rPr>
        <w:t>SIC.</w:t>
      </w:r>
    </w:p>
    <w:p w:rsidR="00873F16" w:rsidRPr="009020D5" w:rsidRDefault="00873F1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Cabe destacar, desde já, que a Ouvidoria e o SIC não trabalham isoladamente, mas </w:t>
      </w:r>
      <w:r w:rsidR="000E2286" w:rsidRPr="009020D5">
        <w:rPr>
          <w:rFonts w:ascii="Times New Roman" w:hAnsi="Times New Roman" w:cs="Times New Roman"/>
          <w:sz w:val="24"/>
          <w:szCs w:val="24"/>
        </w:rPr>
        <w:t xml:space="preserve">atuam como </w:t>
      </w:r>
      <w:r w:rsidR="00CE477E" w:rsidRPr="009020D5">
        <w:rPr>
          <w:rFonts w:ascii="Times New Roman" w:hAnsi="Times New Roman" w:cs="Times New Roman"/>
          <w:sz w:val="24"/>
          <w:szCs w:val="24"/>
        </w:rPr>
        <w:t>portas</w:t>
      </w:r>
      <w:r w:rsidR="000E2286" w:rsidRPr="009020D5">
        <w:rPr>
          <w:rFonts w:ascii="Times New Roman" w:hAnsi="Times New Roman" w:cs="Times New Roman"/>
          <w:sz w:val="24"/>
          <w:szCs w:val="24"/>
        </w:rPr>
        <w:t xml:space="preserve"> de entrada em uma rede que inclui os diversos setores, órgãos e unidades da UFMG. Assim, o impacto de mudanças nos cenários internos e externos à Universidade é diretamente sentido na atuação cotidiana </w:t>
      </w:r>
      <w:r w:rsidR="00AE617D" w:rsidRPr="009020D5">
        <w:rPr>
          <w:rFonts w:ascii="Times New Roman" w:hAnsi="Times New Roman" w:cs="Times New Roman"/>
          <w:sz w:val="24"/>
          <w:szCs w:val="24"/>
        </w:rPr>
        <w:t>tanto da Ouvidoria, quanto do SIC.</w:t>
      </w:r>
    </w:p>
    <w:p w:rsidR="00AE617D" w:rsidRPr="009020D5" w:rsidRDefault="00AE617D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Vale registrar, ainda, que </w:t>
      </w:r>
      <w:r w:rsidR="00AB6A9D" w:rsidRPr="009020D5">
        <w:rPr>
          <w:rFonts w:ascii="Times New Roman" w:hAnsi="Times New Roman" w:cs="Times New Roman"/>
          <w:sz w:val="24"/>
          <w:szCs w:val="24"/>
        </w:rPr>
        <w:t xml:space="preserve">o aprimoramento do trabalho da Ouvidoria e do SIC, que pode ser percebido neste relatório, </w:t>
      </w:r>
      <w:r w:rsidR="0006264F" w:rsidRPr="009020D5">
        <w:rPr>
          <w:rFonts w:ascii="Times New Roman" w:hAnsi="Times New Roman" w:cs="Times New Roman"/>
          <w:sz w:val="24"/>
          <w:szCs w:val="24"/>
        </w:rPr>
        <w:t xml:space="preserve">é fruto dos esforços de toda a equipe, implementados desde o começo do ano de 2018. </w:t>
      </w:r>
      <w:r w:rsidR="001E5BCB" w:rsidRPr="009020D5">
        <w:rPr>
          <w:rFonts w:ascii="Times New Roman" w:hAnsi="Times New Roman" w:cs="Times New Roman"/>
          <w:sz w:val="24"/>
          <w:szCs w:val="24"/>
        </w:rPr>
        <w:t>A</w:t>
      </w:r>
      <w:r w:rsidR="0006264F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930F77" w:rsidRPr="009020D5">
        <w:rPr>
          <w:rFonts w:ascii="Times New Roman" w:hAnsi="Times New Roman" w:cs="Times New Roman"/>
          <w:sz w:val="24"/>
          <w:szCs w:val="24"/>
        </w:rPr>
        <w:t xml:space="preserve">nova </w:t>
      </w:r>
      <w:r w:rsidR="00373D46" w:rsidRPr="009020D5">
        <w:rPr>
          <w:rFonts w:ascii="Times New Roman" w:hAnsi="Times New Roman" w:cs="Times New Roman"/>
          <w:sz w:val="24"/>
          <w:szCs w:val="24"/>
        </w:rPr>
        <w:t xml:space="preserve">gestão da Diretoria de Governança Informacional, que engloba Ouvidoria e SIC, </w:t>
      </w:r>
      <w:r w:rsidR="00930F77" w:rsidRPr="009020D5">
        <w:rPr>
          <w:rFonts w:ascii="Times New Roman" w:hAnsi="Times New Roman" w:cs="Times New Roman"/>
          <w:sz w:val="24"/>
          <w:szCs w:val="24"/>
        </w:rPr>
        <w:t xml:space="preserve">apenas deu continuidade ao trabalho já desenvolvido </w:t>
      </w:r>
      <w:r w:rsidR="00D37845" w:rsidRPr="009020D5">
        <w:rPr>
          <w:rFonts w:ascii="Times New Roman" w:hAnsi="Times New Roman" w:cs="Times New Roman"/>
          <w:sz w:val="24"/>
          <w:szCs w:val="24"/>
        </w:rPr>
        <w:t>desde então.</w:t>
      </w:r>
    </w:p>
    <w:p w:rsidR="00630DBF" w:rsidRPr="009020D5" w:rsidRDefault="00630DBF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A98" w:rsidRPr="009020D5" w:rsidRDefault="00F80A98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A98" w:rsidRPr="009020D5" w:rsidRDefault="00F80A98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A98" w:rsidRPr="009020D5" w:rsidRDefault="00F80A98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A98" w:rsidRPr="009020D5" w:rsidRDefault="00F80A98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EC9" w:rsidRPr="009020D5" w:rsidRDefault="00505EC9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58" w:rsidRPr="009020D5" w:rsidRDefault="00AE0258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D5">
        <w:rPr>
          <w:rFonts w:ascii="Times New Roman" w:hAnsi="Times New Roman" w:cs="Times New Roman"/>
          <w:b/>
          <w:sz w:val="24"/>
          <w:szCs w:val="24"/>
        </w:rPr>
        <w:t>Ouvidoria</w:t>
      </w:r>
    </w:p>
    <w:p w:rsidR="00AE0258" w:rsidRPr="009020D5" w:rsidRDefault="00AE0258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F01" w:rsidRPr="009020D5" w:rsidRDefault="00AE0258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Desde 2014, a</w:t>
      </w:r>
      <w:r w:rsidR="00D43D10" w:rsidRPr="009020D5">
        <w:rPr>
          <w:rFonts w:ascii="Times New Roman" w:hAnsi="Times New Roman" w:cs="Times New Roman"/>
          <w:sz w:val="24"/>
          <w:szCs w:val="24"/>
        </w:rPr>
        <w:t xml:space="preserve"> confiança da com</w:t>
      </w:r>
      <w:r w:rsidR="001E796A" w:rsidRPr="009020D5">
        <w:rPr>
          <w:rFonts w:ascii="Times New Roman" w:hAnsi="Times New Roman" w:cs="Times New Roman"/>
          <w:sz w:val="24"/>
          <w:szCs w:val="24"/>
        </w:rPr>
        <w:t xml:space="preserve">unidade nos canais da </w:t>
      </w:r>
      <w:proofErr w:type="spellStart"/>
      <w:r w:rsidR="001E796A" w:rsidRPr="009020D5">
        <w:rPr>
          <w:rFonts w:ascii="Times New Roman" w:hAnsi="Times New Roman" w:cs="Times New Roman"/>
          <w:sz w:val="24"/>
          <w:szCs w:val="24"/>
        </w:rPr>
        <w:t>Ouvidoria-</w:t>
      </w:r>
      <w:r w:rsidR="00D43D10" w:rsidRPr="009020D5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="00D43D10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1E796A" w:rsidRPr="009020D5">
        <w:rPr>
          <w:rFonts w:ascii="Times New Roman" w:hAnsi="Times New Roman" w:cs="Times New Roman"/>
          <w:sz w:val="24"/>
          <w:szCs w:val="24"/>
        </w:rPr>
        <w:t xml:space="preserve">da UFMG </w:t>
      </w:r>
      <w:r w:rsidR="00D43D10" w:rsidRPr="009020D5">
        <w:rPr>
          <w:rFonts w:ascii="Times New Roman" w:hAnsi="Times New Roman" w:cs="Times New Roman"/>
          <w:sz w:val="24"/>
          <w:szCs w:val="24"/>
        </w:rPr>
        <w:t xml:space="preserve">vem se solidificando ano a ano. O maior indicativo de tal afirmação é o </w:t>
      </w:r>
      <w:r w:rsidR="00827AAA" w:rsidRPr="009020D5">
        <w:rPr>
          <w:rFonts w:ascii="Times New Roman" w:hAnsi="Times New Roman" w:cs="Times New Roman"/>
          <w:sz w:val="24"/>
          <w:szCs w:val="24"/>
        </w:rPr>
        <w:t xml:space="preserve">permanente </w:t>
      </w:r>
      <w:r w:rsidR="00D43D10" w:rsidRPr="009020D5">
        <w:rPr>
          <w:rFonts w:ascii="Times New Roman" w:hAnsi="Times New Roman" w:cs="Times New Roman"/>
          <w:sz w:val="24"/>
          <w:szCs w:val="24"/>
        </w:rPr>
        <w:t xml:space="preserve">crescimento na quantidade de </w:t>
      </w:r>
      <w:r w:rsidR="003F1E31" w:rsidRPr="009020D5">
        <w:rPr>
          <w:rFonts w:ascii="Times New Roman" w:hAnsi="Times New Roman" w:cs="Times New Roman"/>
          <w:sz w:val="24"/>
          <w:szCs w:val="24"/>
        </w:rPr>
        <w:t>m</w:t>
      </w:r>
      <w:r w:rsidR="00D43D10" w:rsidRPr="009020D5">
        <w:rPr>
          <w:rFonts w:ascii="Times New Roman" w:hAnsi="Times New Roman" w:cs="Times New Roman"/>
          <w:sz w:val="24"/>
          <w:szCs w:val="24"/>
        </w:rPr>
        <w:t>anifestações</w:t>
      </w:r>
      <w:r w:rsidR="00185061" w:rsidRPr="009020D5">
        <w:rPr>
          <w:rFonts w:ascii="Times New Roman" w:hAnsi="Times New Roman" w:cs="Times New Roman"/>
          <w:sz w:val="24"/>
          <w:szCs w:val="24"/>
        </w:rPr>
        <w:t xml:space="preserve"> registradas, como mostra o GRAF.1.</w:t>
      </w:r>
      <w:r w:rsidR="002879A9" w:rsidRPr="009020D5">
        <w:rPr>
          <w:rFonts w:ascii="Times New Roman" w:hAnsi="Times New Roman" w:cs="Times New Roman"/>
          <w:sz w:val="24"/>
          <w:szCs w:val="24"/>
        </w:rPr>
        <w:t xml:space="preserve"> Comparando os números absolutos do GRAF.1, temos que, entre </w:t>
      </w:r>
      <w:r w:rsidR="00D43D10" w:rsidRPr="009020D5">
        <w:rPr>
          <w:rFonts w:ascii="Times New Roman" w:hAnsi="Times New Roman" w:cs="Times New Roman"/>
          <w:sz w:val="24"/>
          <w:szCs w:val="24"/>
        </w:rPr>
        <w:t>2014 e 2015, a taxa de crescimento</w:t>
      </w:r>
      <w:r w:rsidR="002879A9" w:rsidRPr="009020D5">
        <w:rPr>
          <w:rFonts w:ascii="Times New Roman" w:hAnsi="Times New Roman" w:cs="Times New Roman"/>
          <w:sz w:val="24"/>
          <w:szCs w:val="24"/>
        </w:rPr>
        <w:t xml:space="preserve"> na quantidade de manifestações registradas </w:t>
      </w:r>
      <w:r w:rsidR="00D43D10" w:rsidRPr="009020D5">
        <w:rPr>
          <w:rFonts w:ascii="Times New Roman" w:hAnsi="Times New Roman" w:cs="Times New Roman"/>
          <w:sz w:val="24"/>
          <w:szCs w:val="24"/>
        </w:rPr>
        <w:t xml:space="preserve">foi de </w:t>
      </w:r>
      <w:r w:rsidR="00D43D10" w:rsidRPr="009020D5">
        <w:rPr>
          <w:rFonts w:ascii="Times New Roman" w:hAnsi="Times New Roman" w:cs="Times New Roman"/>
          <w:b/>
          <w:sz w:val="24"/>
          <w:szCs w:val="24"/>
        </w:rPr>
        <w:t>34,7%</w:t>
      </w:r>
      <w:r w:rsidR="00D43D10" w:rsidRPr="009020D5">
        <w:rPr>
          <w:rFonts w:ascii="Times New Roman" w:hAnsi="Times New Roman" w:cs="Times New Roman"/>
          <w:sz w:val="24"/>
          <w:szCs w:val="24"/>
        </w:rPr>
        <w:t xml:space="preserve">; de 2015 a 2016, </w:t>
      </w:r>
      <w:r w:rsidR="00D43D10" w:rsidRPr="009020D5">
        <w:rPr>
          <w:rFonts w:ascii="Times New Roman" w:hAnsi="Times New Roman" w:cs="Times New Roman"/>
          <w:b/>
          <w:sz w:val="24"/>
          <w:szCs w:val="24"/>
        </w:rPr>
        <w:t>14,8%</w:t>
      </w:r>
      <w:r w:rsidR="00D43D10" w:rsidRPr="009020D5">
        <w:rPr>
          <w:rFonts w:ascii="Times New Roman" w:hAnsi="Times New Roman" w:cs="Times New Roman"/>
          <w:sz w:val="24"/>
          <w:szCs w:val="24"/>
        </w:rPr>
        <w:t xml:space="preserve">; entre 2016 e 2017, </w:t>
      </w:r>
      <w:r w:rsidR="00D43D10" w:rsidRPr="009020D5">
        <w:rPr>
          <w:rFonts w:ascii="Times New Roman" w:hAnsi="Times New Roman" w:cs="Times New Roman"/>
          <w:b/>
          <w:sz w:val="24"/>
          <w:szCs w:val="24"/>
        </w:rPr>
        <w:t>4,7%;</w:t>
      </w:r>
      <w:r w:rsidR="00D43D10" w:rsidRPr="009020D5">
        <w:rPr>
          <w:rFonts w:ascii="Times New Roman" w:hAnsi="Times New Roman" w:cs="Times New Roman"/>
          <w:sz w:val="24"/>
          <w:szCs w:val="24"/>
        </w:rPr>
        <w:t xml:space="preserve"> e, de 2017 para 2018, </w:t>
      </w:r>
      <w:r w:rsidR="00D43D10" w:rsidRPr="009020D5">
        <w:rPr>
          <w:rFonts w:ascii="Times New Roman" w:hAnsi="Times New Roman" w:cs="Times New Roman"/>
          <w:b/>
          <w:sz w:val="24"/>
          <w:szCs w:val="24"/>
        </w:rPr>
        <w:t>15,3%</w:t>
      </w:r>
      <w:r w:rsidR="00D43D10" w:rsidRPr="009020D5">
        <w:rPr>
          <w:rFonts w:ascii="Times New Roman" w:hAnsi="Times New Roman" w:cs="Times New Roman"/>
          <w:sz w:val="24"/>
          <w:szCs w:val="24"/>
        </w:rPr>
        <w:t>.</w:t>
      </w:r>
    </w:p>
    <w:p w:rsidR="00145ACD" w:rsidRPr="009020D5" w:rsidRDefault="00145ACD" w:rsidP="0082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AAA" w:rsidRPr="009020D5" w:rsidRDefault="00827AAA" w:rsidP="00827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GRÁFICO 1: Quantidade de manifestações por ano entre 2014 e 2018</w:t>
      </w:r>
    </w:p>
    <w:p w:rsidR="00D43D10" w:rsidRPr="009020D5" w:rsidRDefault="00827AAA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8C28345" wp14:editId="6932DADC">
            <wp:extent cx="4325510" cy="273047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s DG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r="4518"/>
                    <a:stretch/>
                  </pic:blipFill>
                  <pic:spPr bwMode="auto">
                    <a:xfrm>
                      <a:off x="0" y="0"/>
                      <a:ext cx="4331647" cy="2734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E31" w:rsidRPr="009020D5" w:rsidRDefault="00827AAA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20D5">
        <w:rPr>
          <w:rFonts w:ascii="Times New Roman" w:hAnsi="Times New Roman" w:cs="Times New Roman"/>
          <w:szCs w:val="24"/>
        </w:rPr>
        <w:t>Fonte: dados da Diretoria de Governança Informacional da UFMG</w:t>
      </w:r>
    </w:p>
    <w:p w:rsidR="00827AAA" w:rsidRPr="009020D5" w:rsidRDefault="00827AAA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BD2" w:rsidRPr="009020D5" w:rsidRDefault="0058691A" w:rsidP="002E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Cabe ressaltar</w:t>
      </w:r>
      <w:r w:rsidR="002879A9" w:rsidRPr="009020D5">
        <w:rPr>
          <w:rFonts w:ascii="Times New Roman" w:hAnsi="Times New Roman" w:cs="Times New Roman"/>
          <w:sz w:val="24"/>
          <w:szCs w:val="24"/>
        </w:rPr>
        <w:t xml:space="preserve"> que a taxa de satisfaç</w:t>
      </w:r>
      <w:r w:rsidR="00043E33">
        <w:rPr>
          <w:rFonts w:ascii="Times New Roman" w:hAnsi="Times New Roman" w:cs="Times New Roman"/>
          <w:sz w:val="24"/>
          <w:szCs w:val="24"/>
        </w:rPr>
        <w:t xml:space="preserve">ão dos usuários com a </w:t>
      </w:r>
      <w:proofErr w:type="spellStart"/>
      <w:r w:rsidR="00043E33">
        <w:rPr>
          <w:rFonts w:ascii="Times New Roman" w:hAnsi="Times New Roman" w:cs="Times New Roman"/>
          <w:sz w:val="24"/>
          <w:szCs w:val="24"/>
        </w:rPr>
        <w:t>Ouvidoria-</w:t>
      </w:r>
      <w:r w:rsidR="002879A9" w:rsidRPr="009020D5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="002879A9" w:rsidRPr="009020D5">
        <w:rPr>
          <w:rFonts w:ascii="Times New Roman" w:hAnsi="Times New Roman" w:cs="Times New Roman"/>
          <w:sz w:val="24"/>
          <w:szCs w:val="24"/>
        </w:rPr>
        <w:t xml:space="preserve"> da UFMG 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subiu de </w:t>
      </w:r>
      <w:r w:rsidR="00844A70" w:rsidRPr="009020D5">
        <w:rPr>
          <w:rFonts w:ascii="Times New Roman" w:hAnsi="Times New Roman" w:cs="Times New Roman"/>
          <w:b/>
          <w:sz w:val="24"/>
          <w:szCs w:val="24"/>
        </w:rPr>
        <w:t>18,2%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em 2017</w:t>
      </w:r>
      <w:r w:rsidR="001B6816" w:rsidRPr="009020D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para </w:t>
      </w:r>
      <w:r w:rsidR="002879A9" w:rsidRPr="009020D5">
        <w:rPr>
          <w:rFonts w:ascii="Times New Roman" w:hAnsi="Times New Roman" w:cs="Times New Roman"/>
          <w:b/>
          <w:sz w:val="24"/>
          <w:szCs w:val="24"/>
        </w:rPr>
        <w:t>64,5%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em 2018</w:t>
      </w:r>
      <w:r w:rsidR="002879A9" w:rsidRPr="009020D5">
        <w:rPr>
          <w:rFonts w:ascii="Times New Roman" w:hAnsi="Times New Roman" w:cs="Times New Roman"/>
          <w:sz w:val="24"/>
          <w:szCs w:val="24"/>
        </w:rPr>
        <w:t>,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levando-se em conta </w:t>
      </w:r>
      <w:r w:rsidR="002879A9" w:rsidRPr="009020D5">
        <w:rPr>
          <w:rFonts w:ascii="Times New Roman" w:hAnsi="Times New Roman" w:cs="Times New Roman"/>
          <w:sz w:val="24"/>
          <w:szCs w:val="24"/>
        </w:rPr>
        <w:t xml:space="preserve">os 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que se consideram </w:t>
      </w:r>
      <w:r w:rsidR="002879A9" w:rsidRPr="00A92536">
        <w:rPr>
          <w:rFonts w:ascii="Times New Roman" w:hAnsi="Times New Roman" w:cs="Times New Roman"/>
          <w:i/>
          <w:sz w:val="24"/>
          <w:szCs w:val="24"/>
        </w:rPr>
        <w:t>muitos satisfeitos</w:t>
      </w:r>
      <w:r w:rsidR="002879A9" w:rsidRPr="009020D5">
        <w:rPr>
          <w:rFonts w:ascii="Times New Roman" w:hAnsi="Times New Roman" w:cs="Times New Roman"/>
          <w:sz w:val="24"/>
          <w:szCs w:val="24"/>
        </w:rPr>
        <w:t>,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2879A9" w:rsidRPr="00A92536">
        <w:rPr>
          <w:rFonts w:ascii="Times New Roman" w:hAnsi="Times New Roman" w:cs="Times New Roman"/>
          <w:i/>
          <w:sz w:val="24"/>
          <w:szCs w:val="24"/>
        </w:rPr>
        <w:t>satisfeitos</w:t>
      </w:r>
      <w:r w:rsidR="002879A9" w:rsidRPr="009020D5">
        <w:rPr>
          <w:rFonts w:ascii="Times New Roman" w:hAnsi="Times New Roman" w:cs="Times New Roman"/>
          <w:sz w:val="24"/>
          <w:szCs w:val="24"/>
        </w:rPr>
        <w:t xml:space="preserve"> e os que consideram </w:t>
      </w:r>
      <w:r w:rsidR="002879A9" w:rsidRPr="00A92536">
        <w:rPr>
          <w:rFonts w:ascii="Times New Roman" w:hAnsi="Times New Roman" w:cs="Times New Roman"/>
          <w:i/>
          <w:sz w:val="24"/>
          <w:szCs w:val="24"/>
        </w:rPr>
        <w:t>regular</w:t>
      </w:r>
      <w:r w:rsidR="002879A9" w:rsidRPr="009020D5">
        <w:rPr>
          <w:rFonts w:ascii="Times New Roman" w:hAnsi="Times New Roman" w:cs="Times New Roman"/>
          <w:sz w:val="24"/>
          <w:szCs w:val="24"/>
        </w:rPr>
        <w:t xml:space="preserve"> a resolução das manifestações enviadas. </w:t>
      </w:r>
      <w:r w:rsidR="002E1841" w:rsidRPr="009020D5">
        <w:rPr>
          <w:rFonts w:ascii="Times New Roman" w:hAnsi="Times New Roman" w:cs="Times New Roman"/>
          <w:sz w:val="24"/>
          <w:szCs w:val="24"/>
        </w:rPr>
        <w:t>Aplicando a mesma fórmula n</w:t>
      </w:r>
      <w:r w:rsidR="00864FAE" w:rsidRPr="009020D5">
        <w:rPr>
          <w:rFonts w:ascii="Times New Roman" w:hAnsi="Times New Roman" w:cs="Times New Roman"/>
          <w:sz w:val="24"/>
          <w:szCs w:val="24"/>
        </w:rPr>
        <w:t>acionalmente</w:t>
      </w:r>
      <w:r w:rsidR="00864FAE" w:rsidRPr="009020D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2E1841" w:rsidRPr="009020D5">
        <w:rPr>
          <w:rFonts w:ascii="Times New Roman" w:hAnsi="Times New Roman" w:cs="Times New Roman"/>
          <w:sz w:val="24"/>
          <w:szCs w:val="24"/>
        </w:rPr>
        <w:t>, a taxa de satisfação média dos usuários de</w:t>
      </w:r>
      <w:r w:rsidR="00DC5DCE" w:rsidRPr="009020D5">
        <w:rPr>
          <w:rFonts w:ascii="Times New Roman" w:hAnsi="Times New Roman" w:cs="Times New Roman"/>
          <w:sz w:val="24"/>
          <w:szCs w:val="24"/>
        </w:rPr>
        <w:t xml:space="preserve"> todas as</w:t>
      </w:r>
      <w:r w:rsidR="002E1841" w:rsidRPr="009020D5">
        <w:rPr>
          <w:rFonts w:ascii="Times New Roman" w:hAnsi="Times New Roman" w:cs="Times New Roman"/>
          <w:sz w:val="24"/>
          <w:szCs w:val="24"/>
        </w:rPr>
        <w:t xml:space="preserve"> Ouvidoria</w:t>
      </w:r>
      <w:r w:rsidR="00DC5DCE" w:rsidRPr="009020D5">
        <w:rPr>
          <w:rFonts w:ascii="Times New Roman" w:hAnsi="Times New Roman" w:cs="Times New Roman"/>
          <w:sz w:val="24"/>
          <w:szCs w:val="24"/>
        </w:rPr>
        <w:t>s federais</w:t>
      </w:r>
      <w:r w:rsidR="002E1841" w:rsidRPr="009020D5">
        <w:rPr>
          <w:rFonts w:ascii="Times New Roman" w:hAnsi="Times New Roman" w:cs="Times New Roman"/>
          <w:sz w:val="24"/>
          <w:szCs w:val="24"/>
        </w:rPr>
        <w:t xml:space="preserve"> é de </w:t>
      </w:r>
      <w:r w:rsidR="002E1841" w:rsidRPr="009020D5">
        <w:rPr>
          <w:rFonts w:ascii="Times New Roman" w:hAnsi="Times New Roman" w:cs="Times New Roman"/>
          <w:b/>
          <w:sz w:val="24"/>
          <w:szCs w:val="24"/>
        </w:rPr>
        <w:t>57,6%</w:t>
      </w:r>
      <w:r w:rsidR="002E1841" w:rsidRPr="009020D5">
        <w:rPr>
          <w:rFonts w:ascii="Times New Roman" w:hAnsi="Times New Roman" w:cs="Times New Roman"/>
          <w:sz w:val="24"/>
          <w:szCs w:val="24"/>
        </w:rPr>
        <w:t xml:space="preserve"> - ou seja, a UFMG se encontra consideravelmente acima da média.</w:t>
      </w:r>
    </w:p>
    <w:p w:rsidR="009020D5" w:rsidRDefault="009020D5" w:rsidP="00486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4AB" w:rsidRPr="009020D5" w:rsidRDefault="002E1841" w:rsidP="00486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lastRenderedPageBreak/>
        <w:t xml:space="preserve">O mesmo vale para o índice de resolutividade percebido pelos usuários. </w:t>
      </w:r>
      <w:r w:rsidR="00D9172B" w:rsidRPr="009020D5">
        <w:rPr>
          <w:rFonts w:ascii="Times New Roman" w:hAnsi="Times New Roman" w:cs="Times New Roman"/>
          <w:sz w:val="24"/>
          <w:szCs w:val="24"/>
        </w:rPr>
        <w:t>E</w:t>
      </w:r>
      <w:r w:rsidRPr="009020D5">
        <w:rPr>
          <w:rFonts w:ascii="Times New Roman" w:hAnsi="Times New Roman" w:cs="Times New Roman"/>
          <w:sz w:val="24"/>
          <w:szCs w:val="24"/>
        </w:rPr>
        <w:t xml:space="preserve">sse número </w:t>
      </w:r>
      <w:r w:rsidR="003B5EB2" w:rsidRPr="009020D5">
        <w:rPr>
          <w:rFonts w:ascii="Times New Roman" w:hAnsi="Times New Roman" w:cs="Times New Roman"/>
          <w:sz w:val="24"/>
          <w:szCs w:val="24"/>
        </w:rPr>
        <w:t>cresceu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de </w:t>
      </w:r>
      <w:r w:rsidR="00844A70" w:rsidRPr="009020D5">
        <w:rPr>
          <w:rFonts w:ascii="Times New Roman" w:hAnsi="Times New Roman" w:cs="Times New Roman"/>
          <w:b/>
          <w:sz w:val="24"/>
          <w:szCs w:val="24"/>
        </w:rPr>
        <w:t>27%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em 2017 para </w:t>
      </w:r>
      <w:r w:rsidR="00844A70" w:rsidRPr="009020D5">
        <w:rPr>
          <w:rFonts w:ascii="Times New Roman" w:hAnsi="Times New Roman" w:cs="Times New Roman"/>
          <w:b/>
          <w:sz w:val="24"/>
          <w:szCs w:val="24"/>
        </w:rPr>
        <w:t>80%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D9172B" w:rsidRPr="009020D5">
        <w:rPr>
          <w:rFonts w:ascii="Times New Roman" w:hAnsi="Times New Roman" w:cs="Times New Roman"/>
          <w:sz w:val="24"/>
          <w:szCs w:val="24"/>
        </w:rPr>
        <w:t xml:space="preserve">em 2018 </w:t>
      </w:r>
      <w:r w:rsidRPr="009020D5">
        <w:rPr>
          <w:rFonts w:ascii="Times New Roman" w:hAnsi="Times New Roman" w:cs="Times New Roman"/>
          <w:sz w:val="24"/>
          <w:szCs w:val="24"/>
        </w:rPr>
        <w:t xml:space="preserve">na UFMG – a média nacional </w:t>
      </w:r>
      <w:r w:rsidR="007177F1" w:rsidRPr="009020D5">
        <w:rPr>
          <w:rFonts w:ascii="Times New Roman" w:hAnsi="Times New Roman" w:cs="Times New Roman"/>
          <w:sz w:val="24"/>
          <w:szCs w:val="24"/>
        </w:rPr>
        <w:t>nesse ano foi</w:t>
      </w:r>
      <w:r w:rsidRPr="009020D5">
        <w:rPr>
          <w:rFonts w:ascii="Times New Roman" w:hAnsi="Times New Roman" w:cs="Times New Roman"/>
          <w:sz w:val="24"/>
          <w:szCs w:val="24"/>
        </w:rPr>
        <w:t xml:space="preserve"> de 62%. A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nota média da Ouvidoria Geral da UFMG subiu de </w:t>
      </w:r>
      <w:r w:rsidR="00844A70" w:rsidRPr="009020D5">
        <w:rPr>
          <w:rFonts w:ascii="Times New Roman" w:hAnsi="Times New Roman" w:cs="Times New Roman"/>
          <w:b/>
          <w:sz w:val="24"/>
          <w:szCs w:val="24"/>
        </w:rPr>
        <w:t>34,5%</w:t>
      </w:r>
      <w:r w:rsidR="00844A70" w:rsidRPr="009020D5">
        <w:rPr>
          <w:rFonts w:ascii="Times New Roman" w:hAnsi="Times New Roman" w:cs="Times New Roman"/>
          <w:sz w:val="24"/>
          <w:szCs w:val="24"/>
        </w:rPr>
        <w:t xml:space="preserve"> em 2017 para </w:t>
      </w:r>
      <w:r w:rsidR="00844A70" w:rsidRPr="009020D5">
        <w:rPr>
          <w:rFonts w:ascii="Times New Roman" w:hAnsi="Times New Roman" w:cs="Times New Roman"/>
          <w:b/>
          <w:sz w:val="24"/>
          <w:szCs w:val="24"/>
        </w:rPr>
        <w:t>62,5%</w:t>
      </w:r>
      <w:r w:rsidRPr="009020D5">
        <w:rPr>
          <w:rFonts w:ascii="Times New Roman" w:hAnsi="Times New Roman" w:cs="Times New Roman"/>
          <w:sz w:val="24"/>
          <w:szCs w:val="24"/>
        </w:rPr>
        <w:t xml:space="preserve"> em 2018, enquanto o índice nacional </w:t>
      </w:r>
      <w:r w:rsidR="007177F1" w:rsidRPr="009020D5">
        <w:rPr>
          <w:rFonts w:ascii="Times New Roman" w:hAnsi="Times New Roman" w:cs="Times New Roman"/>
          <w:sz w:val="24"/>
          <w:szCs w:val="24"/>
        </w:rPr>
        <w:t>foi</w:t>
      </w:r>
      <w:r w:rsidRPr="009020D5">
        <w:rPr>
          <w:rFonts w:ascii="Times New Roman" w:hAnsi="Times New Roman" w:cs="Times New Roman"/>
          <w:sz w:val="24"/>
          <w:szCs w:val="24"/>
        </w:rPr>
        <w:t xml:space="preserve"> de </w:t>
      </w:r>
      <w:r w:rsidRPr="009020D5">
        <w:rPr>
          <w:rFonts w:ascii="Times New Roman" w:hAnsi="Times New Roman" w:cs="Times New Roman"/>
          <w:b/>
          <w:sz w:val="24"/>
          <w:szCs w:val="24"/>
        </w:rPr>
        <w:t>57,1</w:t>
      </w:r>
      <w:r w:rsidR="00463611" w:rsidRPr="009020D5">
        <w:rPr>
          <w:rFonts w:ascii="Times New Roman" w:hAnsi="Times New Roman" w:cs="Times New Roman"/>
          <w:b/>
          <w:sz w:val="24"/>
          <w:szCs w:val="24"/>
        </w:rPr>
        <w:t>%</w:t>
      </w:r>
      <w:r w:rsidR="007177F1" w:rsidRPr="009020D5">
        <w:rPr>
          <w:rFonts w:ascii="Times New Roman" w:hAnsi="Times New Roman" w:cs="Times New Roman"/>
          <w:sz w:val="24"/>
          <w:szCs w:val="24"/>
        </w:rPr>
        <w:t>.</w:t>
      </w:r>
      <w:r w:rsidR="0048623F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1904AB" w:rsidRPr="009020D5">
        <w:rPr>
          <w:rFonts w:ascii="Times New Roman" w:hAnsi="Times New Roman" w:cs="Times New Roman"/>
          <w:sz w:val="24"/>
          <w:szCs w:val="24"/>
        </w:rPr>
        <w:t>Tais dados estão sistematizados na TAB. 1</w:t>
      </w:r>
    </w:p>
    <w:p w:rsidR="0048623F" w:rsidRPr="009020D5" w:rsidRDefault="0048623F" w:rsidP="002E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4AB" w:rsidRPr="009020D5" w:rsidRDefault="0048623F" w:rsidP="00D91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TABELA 1: Comparação entre os índices da </w:t>
      </w:r>
      <w:proofErr w:type="spellStart"/>
      <w:r w:rsidRPr="009020D5">
        <w:rPr>
          <w:rFonts w:ascii="Times New Roman" w:hAnsi="Times New Roman" w:cs="Times New Roman"/>
          <w:sz w:val="24"/>
          <w:szCs w:val="24"/>
        </w:rPr>
        <w:t>Ouvidoria-Geral</w:t>
      </w:r>
      <w:proofErr w:type="spellEnd"/>
      <w:r w:rsidRPr="009020D5">
        <w:rPr>
          <w:rFonts w:ascii="Times New Roman" w:hAnsi="Times New Roman" w:cs="Times New Roman"/>
          <w:sz w:val="24"/>
          <w:szCs w:val="24"/>
        </w:rPr>
        <w:t xml:space="preserve"> da UFMG em 2017, 2018 e </w:t>
      </w:r>
      <w:r w:rsidR="00D9172B" w:rsidRPr="009020D5">
        <w:rPr>
          <w:rFonts w:ascii="Times New Roman" w:hAnsi="Times New Roman" w:cs="Times New Roman"/>
          <w:sz w:val="24"/>
          <w:szCs w:val="24"/>
        </w:rPr>
        <w:t>o</w:t>
      </w:r>
      <w:r w:rsidR="00FB7A22" w:rsidRPr="009020D5">
        <w:rPr>
          <w:rFonts w:ascii="Times New Roman" w:hAnsi="Times New Roman" w:cs="Times New Roman"/>
          <w:sz w:val="24"/>
          <w:szCs w:val="24"/>
        </w:rPr>
        <w:t>s</w:t>
      </w:r>
      <w:r w:rsidR="00D9172B" w:rsidRPr="009020D5">
        <w:rPr>
          <w:rFonts w:ascii="Times New Roman" w:hAnsi="Times New Roman" w:cs="Times New Roman"/>
          <w:sz w:val="24"/>
          <w:szCs w:val="24"/>
        </w:rPr>
        <w:t xml:space="preserve"> índice</w:t>
      </w:r>
      <w:r w:rsidR="00FB7A22" w:rsidRPr="009020D5">
        <w:rPr>
          <w:rFonts w:ascii="Times New Roman" w:hAnsi="Times New Roman" w:cs="Times New Roman"/>
          <w:sz w:val="24"/>
          <w:szCs w:val="24"/>
        </w:rPr>
        <w:t>s</w:t>
      </w:r>
      <w:r w:rsidR="00D9172B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Pr="009020D5">
        <w:rPr>
          <w:rFonts w:ascii="Times New Roman" w:hAnsi="Times New Roman" w:cs="Times New Roman"/>
          <w:sz w:val="24"/>
          <w:szCs w:val="24"/>
        </w:rPr>
        <w:t>do Sistema Nacional de Ouvidoria em 2018</w:t>
      </w:r>
    </w:p>
    <w:tbl>
      <w:tblPr>
        <w:tblStyle w:val="Tabelacomgrade"/>
        <w:tblW w:w="9001" w:type="dxa"/>
        <w:tblLook w:val="04A0" w:firstRow="1" w:lastRow="0" w:firstColumn="1" w:lastColumn="0" w:noHBand="0" w:noVBand="1"/>
      </w:tblPr>
      <w:tblGrid>
        <w:gridCol w:w="2518"/>
        <w:gridCol w:w="2161"/>
        <w:gridCol w:w="2161"/>
        <w:gridCol w:w="2161"/>
      </w:tblGrid>
      <w:tr w:rsidR="00463611" w:rsidRPr="009020D5" w:rsidTr="003F444B">
        <w:tc>
          <w:tcPr>
            <w:tcW w:w="2518" w:type="dxa"/>
            <w:tcBorders>
              <w:left w:val="nil"/>
            </w:tcBorders>
          </w:tcPr>
          <w:p w:rsidR="00461DFF" w:rsidRPr="009020D5" w:rsidRDefault="00461DFF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 xml:space="preserve">Taxa de </w:t>
            </w:r>
            <w:r w:rsidR="003F444B" w:rsidRPr="009020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satisfação</w:t>
            </w:r>
            <w:r w:rsidR="00667D4A" w:rsidRPr="009020D5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61" w:type="dxa"/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Índice de resolutividade</w:t>
            </w:r>
          </w:p>
        </w:tc>
        <w:tc>
          <w:tcPr>
            <w:tcW w:w="2161" w:type="dxa"/>
            <w:tcBorders>
              <w:right w:val="nil"/>
            </w:tcBorders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r w:rsidR="003F444B" w:rsidRPr="009020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</w:tr>
      <w:tr w:rsidR="003F444B" w:rsidRPr="009020D5" w:rsidTr="003F444B">
        <w:tc>
          <w:tcPr>
            <w:tcW w:w="2518" w:type="dxa"/>
            <w:tcBorders>
              <w:left w:val="nil"/>
            </w:tcBorders>
          </w:tcPr>
          <w:p w:rsidR="00461DFF" w:rsidRPr="009020D5" w:rsidRDefault="00461DFF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UFMG 2017</w:t>
            </w:r>
          </w:p>
        </w:tc>
        <w:tc>
          <w:tcPr>
            <w:tcW w:w="2161" w:type="dxa"/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2161" w:type="dxa"/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161" w:type="dxa"/>
            <w:tcBorders>
              <w:right w:val="nil"/>
            </w:tcBorders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</w:tr>
      <w:tr w:rsidR="003F444B" w:rsidRPr="009020D5" w:rsidTr="003F444B">
        <w:tc>
          <w:tcPr>
            <w:tcW w:w="2518" w:type="dxa"/>
            <w:tcBorders>
              <w:left w:val="nil"/>
            </w:tcBorders>
          </w:tcPr>
          <w:p w:rsidR="00461DFF" w:rsidRPr="009020D5" w:rsidRDefault="00461DFF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UFMG 2018</w:t>
            </w:r>
          </w:p>
        </w:tc>
        <w:tc>
          <w:tcPr>
            <w:tcW w:w="2161" w:type="dxa"/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64,5%</w:t>
            </w:r>
          </w:p>
        </w:tc>
        <w:tc>
          <w:tcPr>
            <w:tcW w:w="2161" w:type="dxa"/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61" w:type="dxa"/>
            <w:tcBorders>
              <w:right w:val="nil"/>
            </w:tcBorders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3F444B" w:rsidRPr="009020D5" w:rsidTr="003F444B">
        <w:tc>
          <w:tcPr>
            <w:tcW w:w="2518" w:type="dxa"/>
            <w:tcBorders>
              <w:left w:val="nil"/>
            </w:tcBorders>
          </w:tcPr>
          <w:p w:rsidR="00461DFF" w:rsidRPr="009020D5" w:rsidRDefault="00753E05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Média das </w:t>
            </w:r>
            <w:r w:rsidR="00461DFF" w:rsidRPr="009020D5">
              <w:rPr>
                <w:rFonts w:ascii="Times New Roman" w:hAnsi="Times New Roman" w:cs="Times New Roman"/>
                <w:sz w:val="24"/>
                <w:szCs w:val="24"/>
              </w:rPr>
              <w:t>Ouvidorias</w:t>
            </w:r>
            <w:r w:rsidR="00463611" w:rsidRPr="009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federais </w:t>
            </w:r>
            <w:r w:rsidR="00463611" w:rsidRPr="009020D5">
              <w:rPr>
                <w:rFonts w:ascii="Times New Roman" w:hAnsi="Times New Roman" w:cs="Times New Roman"/>
                <w:sz w:val="24"/>
                <w:szCs w:val="24"/>
              </w:rPr>
              <w:t>em 2018</w:t>
            </w:r>
          </w:p>
        </w:tc>
        <w:tc>
          <w:tcPr>
            <w:tcW w:w="2161" w:type="dxa"/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  <w:tc>
          <w:tcPr>
            <w:tcW w:w="2161" w:type="dxa"/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61" w:type="dxa"/>
            <w:tcBorders>
              <w:right w:val="nil"/>
            </w:tcBorders>
          </w:tcPr>
          <w:p w:rsidR="00461DFF" w:rsidRPr="009020D5" w:rsidRDefault="00463611" w:rsidP="004636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D5">
              <w:rPr>
                <w:rFonts w:ascii="Times New Roman" w:hAnsi="Times New Roman" w:cs="Times New Roman"/>
                <w:sz w:val="24"/>
                <w:szCs w:val="24"/>
              </w:rPr>
              <w:t>57,10%</w:t>
            </w:r>
          </w:p>
        </w:tc>
      </w:tr>
    </w:tbl>
    <w:p w:rsidR="001904AB" w:rsidRPr="009020D5" w:rsidRDefault="00864FAE" w:rsidP="002E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Fonte: dados obtidos no Painel Resolveu</w:t>
      </w:r>
    </w:p>
    <w:p w:rsidR="001904AB" w:rsidRPr="009020D5" w:rsidRDefault="001904AB" w:rsidP="002E1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22" w:rsidRPr="009020D5" w:rsidRDefault="0042392F" w:rsidP="0077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Entendemos que esses </w:t>
      </w:r>
      <w:r w:rsidR="001B1B0B" w:rsidRPr="009020D5">
        <w:rPr>
          <w:rFonts w:ascii="Times New Roman" w:hAnsi="Times New Roman" w:cs="Times New Roman"/>
          <w:sz w:val="24"/>
          <w:szCs w:val="24"/>
        </w:rPr>
        <w:t xml:space="preserve">índices </w:t>
      </w:r>
      <w:r w:rsidRPr="009020D5">
        <w:rPr>
          <w:rFonts w:ascii="Times New Roman" w:hAnsi="Times New Roman" w:cs="Times New Roman"/>
          <w:sz w:val="24"/>
          <w:szCs w:val="24"/>
        </w:rPr>
        <w:t>guardam relação direta com o GRAF.1. Ao terem suas manifestações adequadamente respondidas, os usuários tendem a se sentir mais satisfeitos e, assim, a imagem pública da Ouvidoria é fortalecida, estimulando o aumento das demandas.</w:t>
      </w:r>
    </w:p>
    <w:p w:rsidR="001B6816" w:rsidRPr="009020D5" w:rsidRDefault="001B6816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Outro </w:t>
      </w:r>
      <w:r w:rsidR="001B1B0B" w:rsidRPr="009020D5">
        <w:rPr>
          <w:rFonts w:ascii="Times New Roman" w:hAnsi="Times New Roman" w:cs="Times New Roman"/>
          <w:sz w:val="24"/>
          <w:szCs w:val="24"/>
        </w:rPr>
        <w:t xml:space="preserve">dado </w:t>
      </w:r>
      <w:r w:rsidR="006D3F22" w:rsidRPr="009020D5">
        <w:rPr>
          <w:rFonts w:ascii="Times New Roman" w:hAnsi="Times New Roman" w:cs="Times New Roman"/>
          <w:sz w:val="24"/>
          <w:szCs w:val="24"/>
        </w:rPr>
        <w:t xml:space="preserve">bastante relevante e que também guarda relação direta com a confiança do público na Ouvidoria </w:t>
      </w:r>
      <w:r w:rsidRPr="009020D5">
        <w:rPr>
          <w:rFonts w:ascii="Times New Roman" w:hAnsi="Times New Roman" w:cs="Times New Roman"/>
          <w:sz w:val="24"/>
          <w:szCs w:val="24"/>
        </w:rPr>
        <w:t xml:space="preserve">é o decréscimo no tempo de resposta </w:t>
      </w:r>
      <w:r w:rsidR="00F76A4B" w:rsidRPr="009020D5">
        <w:rPr>
          <w:rFonts w:ascii="Times New Roman" w:hAnsi="Times New Roman" w:cs="Times New Roman"/>
          <w:sz w:val="24"/>
          <w:szCs w:val="24"/>
        </w:rPr>
        <w:t xml:space="preserve">às manifestações </w:t>
      </w:r>
      <w:r w:rsidRPr="009020D5">
        <w:rPr>
          <w:rFonts w:ascii="Times New Roman" w:hAnsi="Times New Roman" w:cs="Times New Roman"/>
          <w:sz w:val="24"/>
          <w:szCs w:val="24"/>
        </w:rPr>
        <w:t>desde o começo de 2018, conforme</w:t>
      </w:r>
      <w:r w:rsidR="00F76A4B" w:rsidRPr="009020D5">
        <w:rPr>
          <w:rFonts w:ascii="Times New Roman" w:hAnsi="Times New Roman" w:cs="Times New Roman"/>
          <w:sz w:val="24"/>
          <w:szCs w:val="24"/>
        </w:rPr>
        <w:t xml:space="preserve"> mostra</w:t>
      </w:r>
      <w:r w:rsidRPr="009020D5">
        <w:rPr>
          <w:rFonts w:ascii="Times New Roman" w:hAnsi="Times New Roman" w:cs="Times New Roman"/>
          <w:sz w:val="24"/>
          <w:szCs w:val="24"/>
        </w:rPr>
        <w:t xml:space="preserve"> o GRAF. 2.</w:t>
      </w:r>
      <w:r w:rsidR="00464B20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2B3B6F" w:rsidRPr="009020D5">
        <w:rPr>
          <w:rFonts w:ascii="Times New Roman" w:hAnsi="Times New Roman" w:cs="Times New Roman"/>
          <w:sz w:val="24"/>
          <w:szCs w:val="24"/>
        </w:rPr>
        <w:t xml:space="preserve">O </w:t>
      </w:r>
      <w:r w:rsidR="000523D4" w:rsidRPr="009020D5">
        <w:rPr>
          <w:rFonts w:ascii="Times New Roman" w:hAnsi="Times New Roman" w:cs="Times New Roman"/>
          <w:sz w:val="24"/>
          <w:szCs w:val="24"/>
        </w:rPr>
        <w:t xml:space="preserve">tempo médio de resposta às manifestações caiu de </w:t>
      </w:r>
      <w:r w:rsidR="000523D4" w:rsidRPr="009020D5">
        <w:rPr>
          <w:rFonts w:ascii="Times New Roman" w:hAnsi="Times New Roman" w:cs="Times New Roman"/>
          <w:b/>
          <w:sz w:val="24"/>
          <w:szCs w:val="24"/>
        </w:rPr>
        <w:t>48,64</w:t>
      </w:r>
      <w:r w:rsidR="000523D4" w:rsidRPr="009020D5">
        <w:rPr>
          <w:rFonts w:ascii="Times New Roman" w:hAnsi="Times New Roman" w:cs="Times New Roman"/>
          <w:sz w:val="24"/>
          <w:szCs w:val="24"/>
        </w:rPr>
        <w:t xml:space="preserve"> dias em janeiro de 2018 para </w:t>
      </w:r>
      <w:r w:rsidR="000523D4" w:rsidRPr="009020D5">
        <w:rPr>
          <w:rFonts w:ascii="Times New Roman" w:hAnsi="Times New Roman" w:cs="Times New Roman"/>
          <w:b/>
          <w:sz w:val="24"/>
          <w:szCs w:val="24"/>
        </w:rPr>
        <w:t>24,15</w:t>
      </w:r>
      <w:r w:rsidR="000523D4" w:rsidRPr="009020D5">
        <w:rPr>
          <w:rFonts w:ascii="Times New Roman" w:hAnsi="Times New Roman" w:cs="Times New Roman"/>
          <w:sz w:val="24"/>
          <w:szCs w:val="24"/>
        </w:rPr>
        <w:t xml:space="preserve"> dias em dezembro do mesmo ano – uma diminuição de mais de </w:t>
      </w:r>
      <w:r w:rsidR="000523D4" w:rsidRPr="009020D5">
        <w:rPr>
          <w:rFonts w:ascii="Times New Roman" w:hAnsi="Times New Roman" w:cs="Times New Roman"/>
          <w:b/>
          <w:sz w:val="24"/>
          <w:szCs w:val="24"/>
        </w:rPr>
        <w:t>50%</w:t>
      </w:r>
      <w:r w:rsidR="008D0EAE" w:rsidRPr="0090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F3B" w:rsidRPr="009020D5">
        <w:rPr>
          <w:rFonts w:ascii="Times New Roman" w:hAnsi="Times New Roman" w:cs="Times New Roman"/>
          <w:sz w:val="24"/>
          <w:szCs w:val="24"/>
        </w:rPr>
        <w:t>no</w:t>
      </w:r>
      <w:r w:rsidR="008D0EAE" w:rsidRPr="009020D5">
        <w:rPr>
          <w:rFonts w:ascii="Times New Roman" w:hAnsi="Times New Roman" w:cs="Times New Roman"/>
          <w:sz w:val="24"/>
          <w:szCs w:val="24"/>
        </w:rPr>
        <w:t xml:space="preserve"> ano</w:t>
      </w:r>
      <w:r w:rsidR="00B176A2" w:rsidRPr="00902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F3B" w:rsidRPr="009020D5" w:rsidRDefault="00774F3B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14" w:rsidRPr="009020D5" w:rsidRDefault="004465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B6F" w:rsidRPr="009020D5" w:rsidRDefault="002B3B6F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14" w:rsidRPr="009020D5" w:rsidRDefault="004465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14" w:rsidRPr="009020D5" w:rsidRDefault="004465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14" w:rsidRPr="009020D5" w:rsidRDefault="004465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14" w:rsidRPr="009020D5" w:rsidRDefault="004465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816" w:rsidRPr="009020D5" w:rsidRDefault="00464B20" w:rsidP="00FB7C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lastRenderedPageBreak/>
        <w:t>GRÁFICO 2: Média de tempo de resposta das manifestações por mês</w:t>
      </w:r>
    </w:p>
    <w:p w:rsidR="001B6816" w:rsidRPr="009020D5" w:rsidRDefault="00455B8C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4C473FF" wp14:editId="5FA2FC30">
            <wp:extent cx="4015740" cy="1863969"/>
            <wp:effectExtent l="0" t="0" r="0" b="317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4A70" w:rsidRPr="009020D5" w:rsidRDefault="00464B20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9020D5">
        <w:rPr>
          <w:rFonts w:ascii="Times New Roman" w:hAnsi="Times New Roman" w:cs="Times New Roman"/>
          <w:szCs w:val="24"/>
        </w:rPr>
        <w:t>Fonte: dados do Painel Resolveu</w:t>
      </w:r>
    </w:p>
    <w:bookmarkEnd w:id="1"/>
    <w:p w:rsidR="00844A70" w:rsidRPr="009020D5" w:rsidRDefault="00844A70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B8C" w:rsidRPr="009020D5" w:rsidRDefault="00464B20" w:rsidP="004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Se tomarmos </w:t>
      </w:r>
      <w:r w:rsidR="00247A33" w:rsidRPr="009020D5">
        <w:rPr>
          <w:rFonts w:ascii="Times New Roman" w:hAnsi="Times New Roman" w:cs="Times New Roman"/>
          <w:sz w:val="24"/>
          <w:szCs w:val="24"/>
        </w:rPr>
        <w:t>o tempo médio de resposta em</w:t>
      </w:r>
      <w:r w:rsidRPr="009020D5">
        <w:rPr>
          <w:rFonts w:ascii="Times New Roman" w:hAnsi="Times New Roman" w:cs="Times New Roman"/>
          <w:sz w:val="24"/>
          <w:szCs w:val="24"/>
        </w:rPr>
        <w:t xml:space="preserve"> 2018, temos que, no primeiro semestre, foi de </w:t>
      </w:r>
      <w:r w:rsidRPr="009020D5">
        <w:rPr>
          <w:rFonts w:ascii="Times New Roman" w:hAnsi="Times New Roman" w:cs="Times New Roman"/>
          <w:b/>
          <w:sz w:val="24"/>
          <w:szCs w:val="24"/>
        </w:rPr>
        <w:t>46,21</w:t>
      </w:r>
      <w:r w:rsidRPr="009020D5">
        <w:rPr>
          <w:rFonts w:ascii="Times New Roman" w:hAnsi="Times New Roman" w:cs="Times New Roman"/>
          <w:sz w:val="24"/>
          <w:szCs w:val="24"/>
        </w:rPr>
        <w:t xml:space="preserve"> dias. Já no segundo semestre de 2018, foi de </w:t>
      </w:r>
      <w:r w:rsidRPr="009020D5">
        <w:rPr>
          <w:rFonts w:ascii="Times New Roman" w:hAnsi="Times New Roman" w:cs="Times New Roman"/>
          <w:b/>
          <w:sz w:val="24"/>
          <w:szCs w:val="24"/>
        </w:rPr>
        <w:t>22,</w:t>
      </w:r>
      <w:r w:rsidR="00932BB9" w:rsidRPr="009020D5">
        <w:rPr>
          <w:rFonts w:ascii="Times New Roman" w:hAnsi="Times New Roman" w:cs="Times New Roman"/>
          <w:b/>
          <w:sz w:val="24"/>
          <w:szCs w:val="24"/>
        </w:rPr>
        <w:t>73</w:t>
      </w:r>
      <w:r w:rsidRPr="009020D5">
        <w:rPr>
          <w:rFonts w:ascii="Times New Roman" w:hAnsi="Times New Roman" w:cs="Times New Roman"/>
          <w:sz w:val="24"/>
          <w:szCs w:val="24"/>
        </w:rPr>
        <w:t xml:space="preserve"> dias</w:t>
      </w:r>
      <w:r w:rsidR="00285B9B" w:rsidRPr="009020D5">
        <w:rPr>
          <w:rFonts w:ascii="Times New Roman" w:hAnsi="Times New Roman" w:cs="Times New Roman"/>
          <w:sz w:val="24"/>
          <w:szCs w:val="24"/>
        </w:rPr>
        <w:t xml:space="preserve"> – ainda </w:t>
      </w:r>
      <w:r w:rsidR="00C15686">
        <w:rPr>
          <w:rFonts w:ascii="Times New Roman" w:hAnsi="Times New Roman" w:cs="Times New Roman"/>
          <w:sz w:val="24"/>
          <w:szCs w:val="24"/>
        </w:rPr>
        <w:t xml:space="preserve">assim, </w:t>
      </w:r>
      <w:r w:rsidR="00285B9B" w:rsidRPr="009020D5">
        <w:rPr>
          <w:rFonts w:ascii="Times New Roman" w:hAnsi="Times New Roman" w:cs="Times New Roman"/>
          <w:sz w:val="24"/>
          <w:szCs w:val="24"/>
        </w:rPr>
        <w:t xml:space="preserve">acima da média </w:t>
      </w:r>
      <w:r w:rsidR="00C15686">
        <w:rPr>
          <w:rFonts w:ascii="Times New Roman" w:hAnsi="Times New Roman" w:cs="Times New Roman"/>
          <w:sz w:val="24"/>
          <w:szCs w:val="24"/>
        </w:rPr>
        <w:t>d as Ouvidorias f</w:t>
      </w:r>
      <w:r w:rsidR="00285B9B" w:rsidRPr="009020D5">
        <w:rPr>
          <w:rFonts w:ascii="Times New Roman" w:hAnsi="Times New Roman" w:cs="Times New Roman"/>
          <w:sz w:val="24"/>
          <w:szCs w:val="24"/>
        </w:rPr>
        <w:t xml:space="preserve">ederais, de </w:t>
      </w:r>
      <w:r w:rsidR="00285B9B" w:rsidRPr="009020D5">
        <w:rPr>
          <w:rFonts w:ascii="Times New Roman" w:hAnsi="Times New Roman" w:cs="Times New Roman"/>
          <w:b/>
          <w:sz w:val="24"/>
          <w:szCs w:val="24"/>
        </w:rPr>
        <w:t>17,78</w:t>
      </w:r>
      <w:r w:rsidR="00285B9B" w:rsidRPr="009020D5">
        <w:rPr>
          <w:rFonts w:ascii="Times New Roman" w:hAnsi="Times New Roman" w:cs="Times New Roman"/>
          <w:sz w:val="24"/>
          <w:szCs w:val="24"/>
        </w:rPr>
        <w:t xml:space="preserve"> dias no segundo semestre de 2018</w:t>
      </w:r>
      <w:r w:rsidRPr="00902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250" w:rsidRPr="009020D5" w:rsidRDefault="004E4250" w:rsidP="004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250" w:rsidRPr="009020D5" w:rsidRDefault="004E4250" w:rsidP="004E42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20D5">
        <w:rPr>
          <w:rFonts w:ascii="Times New Roman" w:hAnsi="Times New Roman" w:cs="Times New Roman"/>
          <w:sz w:val="24"/>
          <w:szCs w:val="24"/>
        </w:rPr>
        <w:tab/>
      </w:r>
      <w:r w:rsidRPr="009020D5">
        <w:rPr>
          <w:rFonts w:ascii="Times New Roman" w:hAnsi="Times New Roman" w:cs="Times New Roman"/>
          <w:i/>
          <w:sz w:val="24"/>
          <w:szCs w:val="24"/>
          <w:u w:val="single"/>
        </w:rPr>
        <w:t xml:space="preserve">Ouvidorias de outras </w:t>
      </w:r>
      <w:r w:rsidR="00097E43" w:rsidRPr="009020D5">
        <w:rPr>
          <w:rFonts w:ascii="Times New Roman" w:hAnsi="Times New Roman" w:cs="Times New Roman"/>
          <w:i/>
          <w:sz w:val="24"/>
          <w:szCs w:val="24"/>
          <w:u w:val="single"/>
        </w:rPr>
        <w:t>universidades federais</w:t>
      </w:r>
      <w:r w:rsidRPr="009020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E4250" w:rsidRPr="009020D5" w:rsidRDefault="004E4250" w:rsidP="004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B8C" w:rsidRPr="009020D5" w:rsidRDefault="00D64239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Outro</w:t>
      </w:r>
      <w:r w:rsidR="00455B8C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Pr="009020D5">
        <w:rPr>
          <w:rFonts w:ascii="Times New Roman" w:hAnsi="Times New Roman" w:cs="Times New Roman"/>
          <w:sz w:val="24"/>
          <w:szCs w:val="24"/>
        </w:rPr>
        <w:t xml:space="preserve">dado que contribui para a contextualização do trabalho da </w:t>
      </w:r>
      <w:proofErr w:type="spellStart"/>
      <w:r w:rsidRPr="009020D5">
        <w:rPr>
          <w:rFonts w:ascii="Times New Roman" w:hAnsi="Times New Roman" w:cs="Times New Roman"/>
          <w:sz w:val="24"/>
          <w:szCs w:val="24"/>
        </w:rPr>
        <w:t>Ouvidoria-Geral</w:t>
      </w:r>
      <w:proofErr w:type="spellEnd"/>
      <w:r w:rsidRPr="009020D5">
        <w:rPr>
          <w:rFonts w:ascii="Times New Roman" w:hAnsi="Times New Roman" w:cs="Times New Roman"/>
          <w:sz w:val="24"/>
          <w:szCs w:val="24"/>
        </w:rPr>
        <w:t xml:space="preserve"> da UFMG </w:t>
      </w:r>
      <w:r w:rsidR="00455B8C" w:rsidRPr="009020D5">
        <w:rPr>
          <w:rFonts w:ascii="Times New Roman" w:hAnsi="Times New Roman" w:cs="Times New Roman"/>
          <w:sz w:val="24"/>
          <w:szCs w:val="24"/>
        </w:rPr>
        <w:t xml:space="preserve">é a comparação </w:t>
      </w:r>
      <w:r w:rsidRPr="009020D5">
        <w:rPr>
          <w:rFonts w:ascii="Times New Roman" w:hAnsi="Times New Roman" w:cs="Times New Roman"/>
          <w:sz w:val="24"/>
          <w:szCs w:val="24"/>
        </w:rPr>
        <w:t xml:space="preserve">com as </w:t>
      </w:r>
      <w:r w:rsidR="00932BB9" w:rsidRPr="009020D5">
        <w:rPr>
          <w:rFonts w:ascii="Times New Roman" w:hAnsi="Times New Roman" w:cs="Times New Roman"/>
          <w:sz w:val="24"/>
          <w:szCs w:val="24"/>
        </w:rPr>
        <w:t>O</w:t>
      </w:r>
      <w:r w:rsidR="00455B8C" w:rsidRPr="009020D5">
        <w:rPr>
          <w:rFonts w:ascii="Times New Roman" w:hAnsi="Times New Roman" w:cs="Times New Roman"/>
          <w:sz w:val="24"/>
          <w:szCs w:val="24"/>
        </w:rPr>
        <w:t>uvidorias das demais universidades</w:t>
      </w:r>
      <w:r w:rsidR="00FD1F2E" w:rsidRPr="009020D5">
        <w:rPr>
          <w:rFonts w:ascii="Times New Roman" w:hAnsi="Times New Roman" w:cs="Times New Roman"/>
          <w:sz w:val="24"/>
          <w:szCs w:val="24"/>
        </w:rPr>
        <w:t xml:space="preserve"> federais</w:t>
      </w:r>
      <w:r w:rsidR="00455B8C" w:rsidRPr="009020D5">
        <w:rPr>
          <w:rFonts w:ascii="Times New Roman" w:hAnsi="Times New Roman" w:cs="Times New Roman"/>
          <w:sz w:val="24"/>
          <w:szCs w:val="24"/>
        </w:rPr>
        <w:t xml:space="preserve">. Para </w:t>
      </w:r>
      <w:r w:rsidRPr="009020D5">
        <w:rPr>
          <w:rFonts w:ascii="Times New Roman" w:hAnsi="Times New Roman" w:cs="Times New Roman"/>
          <w:sz w:val="24"/>
          <w:szCs w:val="24"/>
        </w:rPr>
        <w:t xml:space="preserve">entendermos a situação da </w:t>
      </w:r>
      <w:proofErr w:type="spellStart"/>
      <w:r w:rsidRPr="009020D5">
        <w:rPr>
          <w:rFonts w:ascii="Times New Roman" w:hAnsi="Times New Roman" w:cs="Times New Roman"/>
          <w:sz w:val="24"/>
          <w:szCs w:val="24"/>
        </w:rPr>
        <w:t>Ouvidoria-Geral</w:t>
      </w:r>
      <w:proofErr w:type="spellEnd"/>
      <w:r w:rsidRPr="009020D5">
        <w:rPr>
          <w:rFonts w:ascii="Times New Roman" w:hAnsi="Times New Roman" w:cs="Times New Roman"/>
          <w:sz w:val="24"/>
          <w:szCs w:val="24"/>
        </w:rPr>
        <w:t xml:space="preserve"> da UFMG </w:t>
      </w:r>
      <w:r w:rsidR="00097E43" w:rsidRPr="009020D5">
        <w:rPr>
          <w:rFonts w:ascii="Times New Roman" w:hAnsi="Times New Roman" w:cs="Times New Roman"/>
          <w:sz w:val="24"/>
          <w:szCs w:val="24"/>
        </w:rPr>
        <w:t>nesse contexto,</w:t>
      </w:r>
      <w:r w:rsidR="00455B8C" w:rsidRPr="009020D5">
        <w:rPr>
          <w:rFonts w:ascii="Times New Roman" w:hAnsi="Times New Roman" w:cs="Times New Roman"/>
          <w:sz w:val="24"/>
          <w:szCs w:val="24"/>
        </w:rPr>
        <w:t xml:space="preserve"> foram </w:t>
      </w:r>
      <w:r w:rsidR="005A2D36" w:rsidRPr="009020D5">
        <w:rPr>
          <w:rFonts w:ascii="Times New Roman" w:hAnsi="Times New Roman" w:cs="Times New Roman"/>
          <w:sz w:val="24"/>
          <w:szCs w:val="24"/>
        </w:rPr>
        <w:t>coletadas informações</w:t>
      </w:r>
      <w:r w:rsidR="00EA6BF2" w:rsidRPr="009020D5">
        <w:rPr>
          <w:rFonts w:ascii="Times New Roman" w:hAnsi="Times New Roman" w:cs="Times New Roman"/>
          <w:sz w:val="24"/>
          <w:szCs w:val="24"/>
        </w:rPr>
        <w:t xml:space="preserve"> sobre 61</w:t>
      </w:r>
      <w:r w:rsidR="005A2D36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Pr="009020D5">
        <w:rPr>
          <w:rFonts w:ascii="Times New Roman" w:hAnsi="Times New Roman" w:cs="Times New Roman"/>
          <w:sz w:val="24"/>
          <w:szCs w:val="24"/>
        </w:rPr>
        <w:t>instituições</w:t>
      </w:r>
      <w:r w:rsidR="005A2D36" w:rsidRPr="009020D5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5A2D36" w:rsidRPr="009020D5">
        <w:rPr>
          <w:rFonts w:ascii="Times New Roman" w:hAnsi="Times New Roman" w:cs="Times New Roman"/>
          <w:sz w:val="24"/>
          <w:szCs w:val="24"/>
        </w:rPr>
        <w:t xml:space="preserve"> em </w:t>
      </w:r>
      <w:r w:rsidR="00487559">
        <w:rPr>
          <w:rFonts w:ascii="Times New Roman" w:hAnsi="Times New Roman" w:cs="Times New Roman"/>
          <w:sz w:val="24"/>
          <w:szCs w:val="24"/>
        </w:rPr>
        <w:t xml:space="preserve">31 de </w:t>
      </w:r>
      <w:r w:rsidR="00694F57">
        <w:rPr>
          <w:rFonts w:ascii="Times New Roman" w:hAnsi="Times New Roman" w:cs="Times New Roman"/>
          <w:sz w:val="24"/>
          <w:szCs w:val="24"/>
        </w:rPr>
        <w:t>outubro</w:t>
      </w:r>
      <w:r w:rsidR="005A2D36" w:rsidRPr="009020D5">
        <w:rPr>
          <w:rFonts w:ascii="Times New Roman" w:hAnsi="Times New Roman" w:cs="Times New Roman"/>
          <w:sz w:val="24"/>
          <w:szCs w:val="24"/>
        </w:rPr>
        <w:t xml:space="preserve"> de 2018. </w:t>
      </w:r>
      <w:r w:rsidRPr="009020D5">
        <w:rPr>
          <w:rFonts w:ascii="Times New Roman" w:hAnsi="Times New Roman" w:cs="Times New Roman"/>
          <w:sz w:val="24"/>
          <w:szCs w:val="24"/>
        </w:rPr>
        <w:t>Quando da coleta</w:t>
      </w:r>
      <w:r w:rsidR="00AF31E3" w:rsidRPr="009020D5">
        <w:rPr>
          <w:rFonts w:ascii="Times New Roman" w:hAnsi="Times New Roman" w:cs="Times New Roman"/>
          <w:sz w:val="24"/>
          <w:szCs w:val="24"/>
        </w:rPr>
        <w:t>, a Ouvidoria da UFMG era:</w:t>
      </w:r>
    </w:p>
    <w:p w:rsidR="00AF31E3" w:rsidRPr="009020D5" w:rsidRDefault="00AF31E3" w:rsidP="00056B32">
      <w:pPr>
        <w:pStyle w:val="PargrafodaLista"/>
        <w:numPr>
          <w:ilvl w:val="0"/>
          <w:numId w:val="3"/>
        </w:numPr>
        <w:spacing w:after="0" w:line="360" w:lineRule="auto"/>
        <w:ind w:firstLine="709"/>
        <w:jc w:val="both"/>
        <w:rPr>
          <w:szCs w:val="24"/>
        </w:rPr>
      </w:pPr>
      <w:r w:rsidRPr="009020D5">
        <w:rPr>
          <w:szCs w:val="24"/>
        </w:rPr>
        <w:t xml:space="preserve">a sétima </w:t>
      </w:r>
      <w:r w:rsidR="001E2EB5" w:rsidRPr="009020D5">
        <w:rPr>
          <w:szCs w:val="24"/>
        </w:rPr>
        <w:t>na</w:t>
      </w:r>
      <w:r w:rsidRPr="009020D5">
        <w:rPr>
          <w:szCs w:val="24"/>
        </w:rPr>
        <w:t xml:space="preserve"> quantidade total de manifestações desde a adoção do e-</w:t>
      </w:r>
      <w:proofErr w:type="spellStart"/>
      <w:r w:rsidRPr="009020D5">
        <w:rPr>
          <w:szCs w:val="24"/>
        </w:rPr>
        <w:t>Ouv</w:t>
      </w:r>
      <w:proofErr w:type="spellEnd"/>
      <w:r w:rsidRPr="009020D5">
        <w:rPr>
          <w:szCs w:val="24"/>
        </w:rPr>
        <w:t xml:space="preserve"> (1.158), atrás de UnB (2.177); UFC (1.973); UFMS (1.743); UTFPR (1.618); </w:t>
      </w:r>
      <w:proofErr w:type="spellStart"/>
      <w:r w:rsidRPr="009020D5">
        <w:rPr>
          <w:szCs w:val="24"/>
        </w:rPr>
        <w:t>Ufscar</w:t>
      </w:r>
      <w:proofErr w:type="spellEnd"/>
      <w:r w:rsidRPr="009020D5">
        <w:rPr>
          <w:szCs w:val="24"/>
        </w:rPr>
        <w:t xml:space="preserve"> (1.595) e UFT (1.253). Cabe ressaltar, entretanto, que esse número varia de acordo com a data de adoção do e-</w:t>
      </w:r>
      <w:proofErr w:type="spellStart"/>
      <w:r w:rsidRPr="009020D5">
        <w:rPr>
          <w:szCs w:val="24"/>
        </w:rPr>
        <w:t>Ouv</w:t>
      </w:r>
      <w:proofErr w:type="spellEnd"/>
      <w:r w:rsidRPr="009020D5">
        <w:rPr>
          <w:szCs w:val="24"/>
        </w:rPr>
        <w:t>, disponível às universidades desde o começo de 2017</w:t>
      </w:r>
      <w:r w:rsidR="00D13FAF" w:rsidRPr="009020D5">
        <w:rPr>
          <w:szCs w:val="24"/>
        </w:rPr>
        <w:t xml:space="preserve"> e apenas adotado pela UFMG </w:t>
      </w:r>
      <w:r w:rsidR="00F60A12">
        <w:rPr>
          <w:szCs w:val="24"/>
        </w:rPr>
        <w:t xml:space="preserve">em </w:t>
      </w:r>
      <w:r w:rsidR="00D42C78">
        <w:rPr>
          <w:szCs w:val="24"/>
        </w:rPr>
        <w:t>julho de 2017</w:t>
      </w:r>
      <w:r w:rsidRPr="009020D5">
        <w:rPr>
          <w:szCs w:val="24"/>
        </w:rPr>
        <w:t>;</w:t>
      </w:r>
    </w:p>
    <w:p w:rsidR="00AF31E3" w:rsidRPr="009020D5" w:rsidRDefault="00124957" w:rsidP="00056B32">
      <w:pPr>
        <w:pStyle w:val="PargrafodaLista"/>
        <w:numPr>
          <w:ilvl w:val="0"/>
          <w:numId w:val="3"/>
        </w:numPr>
        <w:spacing w:after="0" w:line="360" w:lineRule="auto"/>
        <w:ind w:firstLine="709"/>
        <w:jc w:val="both"/>
        <w:rPr>
          <w:szCs w:val="24"/>
        </w:rPr>
      </w:pPr>
      <w:r w:rsidRPr="009020D5">
        <w:rPr>
          <w:szCs w:val="24"/>
        </w:rPr>
        <w:lastRenderedPageBreak/>
        <w:t>a 22ª na relação entre o total de manifestações registradas e respondidas, com 93,1% de manifestações respondidas;</w:t>
      </w:r>
    </w:p>
    <w:p w:rsidR="00464B20" w:rsidRPr="009020D5" w:rsidRDefault="00124957" w:rsidP="00056B32">
      <w:pPr>
        <w:pStyle w:val="PargrafodaLista"/>
        <w:numPr>
          <w:ilvl w:val="0"/>
          <w:numId w:val="3"/>
        </w:numPr>
        <w:spacing w:after="0" w:line="360" w:lineRule="auto"/>
        <w:ind w:firstLine="709"/>
        <w:jc w:val="both"/>
        <w:rPr>
          <w:szCs w:val="24"/>
        </w:rPr>
      </w:pPr>
      <w:r w:rsidRPr="009020D5">
        <w:rPr>
          <w:szCs w:val="24"/>
        </w:rPr>
        <w:t>a 44ª em manifestações respondidas no prazo, com 56% de respostas dentro do prazo. Entretanto, aqui cabe remeter ao GRAF. 2, que mostra que essa é uma realidade que sofreu profunda alteração nos últimos meses</w:t>
      </w:r>
      <w:r w:rsidR="002145C0" w:rsidRPr="009020D5">
        <w:rPr>
          <w:szCs w:val="24"/>
        </w:rPr>
        <w:t xml:space="preserve"> na </w:t>
      </w:r>
      <w:proofErr w:type="spellStart"/>
      <w:r w:rsidR="002145C0" w:rsidRPr="009020D5">
        <w:rPr>
          <w:szCs w:val="24"/>
        </w:rPr>
        <w:t>Ouvidoria-Geral</w:t>
      </w:r>
      <w:proofErr w:type="spellEnd"/>
      <w:r w:rsidR="002145C0" w:rsidRPr="009020D5">
        <w:rPr>
          <w:szCs w:val="24"/>
        </w:rPr>
        <w:t xml:space="preserve"> da UFMG</w:t>
      </w:r>
      <w:r w:rsidRPr="009020D5">
        <w:rPr>
          <w:szCs w:val="24"/>
        </w:rPr>
        <w:t>;</w:t>
      </w:r>
    </w:p>
    <w:p w:rsidR="00124957" w:rsidRPr="009020D5" w:rsidRDefault="00124957" w:rsidP="00056B32">
      <w:pPr>
        <w:pStyle w:val="PargrafodaLista"/>
        <w:numPr>
          <w:ilvl w:val="0"/>
          <w:numId w:val="3"/>
        </w:numPr>
        <w:spacing w:after="0" w:line="360" w:lineRule="auto"/>
        <w:ind w:firstLine="709"/>
        <w:jc w:val="both"/>
        <w:rPr>
          <w:szCs w:val="24"/>
        </w:rPr>
      </w:pPr>
      <w:r w:rsidRPr="009020D5">
        <w:rPr>
          <w:szCs w:val="24"/>
        </w:rPr>
        <w:t>a 28</w:t>
      </w:r>
      <w:r w:rsidR="00B8274B" w:rsidRPr="009020D5">
        <w:rPr>
          <w:szCs w:val="24"/>
        </w:rPr>
        <w:t xml:space="preserve">ª </w:t>
      </w:r>
      <w:r w:rsidR="002145C0" w:rsidRPr="009020D5">
        <w:rPr>
          <w:szCs w:val="24"/>
        </w:rPr>
        <w:t>em índice de resolutiv</w:t>
      </w:r>
      <w:r w:rsidRPr="009020D5">
        <w:rPr>
          <w:szCs w:val="24"/>
        </w:rPr>
        <w:t>idade, com 65%. Novamente, se tomarmos apenas 2018, esse índice sobe para 80%;</w:t>
      </w:r>
    </w:p>
    <w:p w:rsidR="00124957" w:rsidRPr="009020D5" w:rsidRDefault="00124957" w:rsidP="00056B32">
      <w:pPr>
        <w:pStyle w:val="PargrafodaLista"/>
        <w:numPr>
          <w:ilvl w:val="0"/>
          <w:numId w:val="3"/>
        </w:numPr>
        <w:spacing w:after="0" w:line="360" w:lineRule="auto"/>
        <w:ind w:firstLine="709"/>
        <w:jc w:val="both"/>
        <w:rPr>
          <w:szCs w:val="24"/>
        </w:rPr>
      </w:pPr>
      <w:r w:rsidRPr="009020D5">
        <w:rPr>
          <w:szCs w:val="24"/>
        </w:rPr>
        <w:t xml:space="preserve">a 23ª em satisfação dos usuários, com nota média de 3,0 em 5,0. </w:t>
      </w:r>
    </w:p>
    <w:p w:rsidR="00A115EE" w:rsidRPr="009020D5" w:rsidRDefault="00A115EE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D" w:rsidRPr="009020D5" w:rsidRDefault="007C1CBC" w:rsidP="00134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2EB5" w:rsidRPr="009020D5">
        <w:rPr>
          <w:rFonts w:ascii="Times New Roman" w:hAnsi="Times New Roman" w:cs="Times New Roman"/>
          <w:sz w:val="24"/>
          <w:szCs w:val="24"/>
        </w:rPr>
        <w:t xml:space="preserve">ais </w:t>
      </w:r>
      <w:r w:rsidR="003F23D6" w:rsidRPr="009020D5">
        <w:rPr>
          <w:rFonts w:ascii="Times New Roman" w:hAnsi="Times New Roman" w:cs="Times New Roman"/>
          <w:sz w:val="24"/>
          <w:szCs w:val="24"/>
        </w:rPr>
        <w:t>comparações</w:t>
      </w:r>
      <w:r w:rsidR="001E2EB5" w:rsidRPr="009020D5">
        <w:rPr>
          <w:rFonts w:ascii="Times New Roman" w:hAnsi="Times New Roman" w:cs="Times New Roman"/>
          <w:sz w:val="24"/>
          <w:szCs w:val="24"/>
        </w:rPr>
        <w:t xml:space="preserve"> levam em conta o histórico da Ouvidoria desde a adoção do e-</w:t>
      </w:r>
      <w:proofErr w:type="spellStart"/>
      <w:r w:rsidR="001E2EB5" w:rsidRPr="009020D5">
        <w:rPr>
          <w:rFonts w:ascii="Times New Roman" w:hAnsi="Times New Roman" w:cs="Times New Roman"/>
          <w:sz w:val="24"/>
          <w:szCs w:val="24"/>
        </w:rPr>
        <w:t>Ouv</w:t>
      </w:r>
      <w:proofErr w:type="spellEnd"/>
      <w:r w:rsidR="001E2EB5" w:rsidRPr="009020D5">
        <w:rPr>
          <w:rFonts w:ascii="Times New Roman" w:hAnsi="Times New Roman" w:cs="Times New Roman"/>
          <w:sz w:val="24"/>
          <w:szCs w:val="24"/>
        </w:rPr>
        <w:t xml:space="preserve">, em </w:t>
      </w:r>
      <w:r w:rsidR="00BA170D">
        <w:rPr>
          <w:rFonts w:ascii="Times New Roman" w:hAnsi="Times New Roman" w:cs="Times New Roman"/>
          <w:sz w:val="24"/>
          <w:szCs w:val="24"/>
        </w:rPr>
        <w:t>julho de 2017</w:t>
      </w:r>
      <w:r w:rsidR="00694F57">
        <w:rPr>
          <w:rFonts w:ascii="Times New Roman" w:hAnsi="Times New Roman" w:cs="Times New Roman"/>
          <w:sz w:val="24"/>
          <w:szCs w:val="24"/>
        </w:rPr>
        <w:t xml:space="preserve">, até </w:t>
      </w:r>
      <w:r w:rsidR="00694F57" w:rsidRPr="00694F57">
        <w:rPr>
          <w:rFonts w:ascii="Times New Roman" w:hAnsi="Times New Roman" w:cs="Times New Roman"/>
          <w:sz w:val="24"/>
          <w:szCs w:val="24"/>
        </w:rPr>
        <w:t>outubro</w:t>
      </w:r>
      <w:r w:rsidR="003F23D6" w:rsidRPr="00694F57">
        <w:rPr>
          <w:rFonts w:ascii="Times New Roman" w:hAnsi="Times New Roman" w:cs="Times New Roman"/>
          <w:sz w:val="24"/>
          <w:szCs w:val="24"/>
        </w:rPr>
        <w:t xml:space="preserve"> de 2018</w:t>
      </w:r>
      <w:r w:rsidR="001E2EB5" w:rsidRPr="009020D5">
        <w:rPr>
          <w:rFonts w:ascii="Times New Roman" w:hAnsi="Times New Roman" w:cs="Times New Roman"/>
          <w:sz w:val="24"/>
          <w:szCs w:val="24"/>
        </w:rPr>
        <w:t xml:space="preserve">. Portanto, </w:t>
      </w:r>
      <w:r w:rsidR="003F23D6" w:rsidRPr="009020D5">
        <w:rPr>
          <w:rFonts w:ascii="Times New Roman" w:hAnsi="Times New Roman" w:cs="Times New Roman"/>
          <w:sz w:val="24"/>
          <w:szCs w:val="24"/>
        </w:rPr>
        <w:t xml:space="preserve">ainda que revelem </w:t>
      </w:r>
      <w:r w:rsidR="00134983" w:rsidRPr="009020D5">
        <w:rPr>
          <w:rFonts w:ascii="Times New Roman" w:hAnsi="Times New Roman" w:cs="Times New Roman"/>
          <w:sz w:val="24"/>
          <w:szCs w:val="24"/>
        </w:rPr>
        <w:t xml:space="preserve">um posicionamento comparativamente mediano, não contemplam plenamente o </w:t>
      </w:r>
      <w:r w:rsidR="00963294" w:rsidRPr="009020D5">
        <w:rPr>
          <w:rFonts w:ascii="Times New Roman" w:hAnsi="Times New Roman" w:cs="Times New Roman"/>
          <w:sz w:val="24"/>
          <w:szCs w:val="24"/>
        </w:rPr>
        <w:t>aprimoramento recente que os índices citados nas páginas anteriores deste documento refletem</w:t>
      </w:r>
      <w:r w:rsidR="00134983" w:rsidRPr="009020D5">
        <w:rPr>
          <w:rFonts w:ascii="Times New Roman" w:hAnsi="Times New Roman" w:cs="Times New Roman"/>
          <w:sz w:val="24"/>
          <w:szCs w:val="24"/>
        </w:rPr>
        <w:t>.</w:t>
      </w:r>
    </w:p>
    <w:p w:rsidR="002145C0" w:rsidRPr="009020D5" w:rsidRDefault="002145C0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5C0" w:rsidRPr="009020D5" w:rsidRDefault="002145C0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0EE" w:rsidRPr="009020D5" w:rsidRDefault="00B150EE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D5">
        <w:rPr>
          <w:rFonts w:ascii="Times New Roman" w:hAnsi="Times New Roman" w:cs="Times New Roman"/>
          <w:b/>
          <w:sz w:val="24"/>
          <w:szCs w:val="24"/>
        </w:rPr>
        <w:t>Serviço de Informação ao Cidadão</w:t>
      </w:r>
      <w:r w:rsidR="00B8274B" w:rsidRPr="009020D5">
        <w:rPr>
          <w:rFonts w:ascii="Times New Roman" w:hAnsi="Times New Roman" w:cs="Times New Roman"/>
          <w:b/>
          <w:sz w:val="24"/>
          <w:szCs w:val="24"/>
        </w:rPr>
        <w:t xml:space="preserve"> (SIC)</w:t>
      </w:r>
    </w:p>
    <w:p w:rsidR="00636118" w:rsidRPr="009020D5" w:rsidRDefault="00636118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94" w:rsidRDefault="0015757A" w:rsidP="009C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Estabelecido pela Lei de Acesso </w:t>
      </w:r>
      <w:r w:rsidR="00444CDA" w:rsidRPr="009020D5">
        <w:rPr>
          <w:rFonts w:ascii="Times New Roman" w:hAnsi="Times New Roman" w:cs="Times New Roman"/>
          <w:sz w:val="24"/>
          <w:szCs w:val="24"/>
        </w:rPr>
        <w:t>à Informação</w:t>
      </w:r>
      <w:r w:rsidR="00295CD6" w:rsidRPr="009020D5">
        <w:rPr>
          <w:rFonts w:ascii="Times New Roman" w:hAnsi="Times New Roman" w:cs="Times New Roman"/>
          <w:sz w:val="24"/>
          <w:szCs w:val="24"/>
        </w:rPr>
        <w:t xml:space="preserve"> (LAI)</w:t>
      </w:r>
      <w:r w:rsidR="00444CDA" w:rsidRPr="009020D5">
        <w:rPr>
          <w:rFonts w:ascii="Times New Roman" w:hAnsi="Times New Roman" w:cs="Times New Roman"/>
          <w:sz w:val="24"/>
          <w:szCs w:val="24"/>
        </w:rPr>
        <w:t xml:space="preserve"> como mecanismo para que qualquer pessoa possa ter acesso a informações públicas, o </w:t>
      </w:r>
      <w:r w:rsidR="00D0773D" w:rsidRPr="009020D5">
        <w:rPr>
          <w:rFonts w:ascii="Times New Roman" w:hAnsi="Times New Roman" w:cs="Times New Roman"/>
          <w:sz w:val="24"/>
          <w:szCs w:val="24"/>
        </w:rPr>
        <w:t>SIC</w:t>
      </w:r>
      <w:r w:rsidR="00444CDA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DE0452" w:rsidRPr="009020D5">
        <w:rPr>
          <w:rFonts w:ascii="Times New Roman" w:hAnsi="Times New Roman" w:cs="Times New Roman"/>
          <w:sz w:val="24"/>
          <w:szCs w:val="24"/>
        </w:rPr>
        <w:t>foi implantado na UFMG em maio de 2012</w:t>
      </w:r>
      <w:r w:rsidR="00444CDA" w:rsidRPr="009020D5">
        <w:rPr>
          <w:rFonts w:ascii="Times New Roman" w:hAnsi="Times New Roman" w:cs="Times New Roman"/>
          <w:sz w:val="24"/>
          <w:szCs w:val="24"/>
        </w:rPr>
        <w:t xml:space="preserve">. </w:t>
      </w:r>
      <w:r w:rsidR="00295CD6" w:rsidRPr="009020D5">
        <w:rPr>
          <w:rFonts w:ascii="Times New Roman" w:hAnsi="Times New Roman" w:cs="Times New Roman"/>
          <w:sz w:val="24"/>
          <w:szCs w:val="24"/>
        </w:rPr>
        <w:t>Seu funcionamento se dá de forma relativamente disti</w:t>
      </w:r>
      <w:r w:rsidR="00A41407" w:rsidRPr="009020D5">
        <w:rPr>
          <w:rFonts w:ascii="Times New Roman" w:hAnsi="Times New Roman" w:cs="Times New Roman"/>
          <w:sz w:val="24"/>
          <w:szCs w:val="24"/>
        </w:rPr>
        <w:t>nta da Ouvidoria</w:t>
      </w:r>
      <w:r w:rsidR="002D0524" w:rsidRPr="009020D5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A41407" w:rsidRPr="009020D5">
        <w:rPr>
          <w:rFonts w:ascii="Times New Roman" w:hAnsi="Times New Roman" w:cs="Times New Roman"/>
          <w:sz w:val="24"/>
          <w:szCs w:val="24"/>
        </w:rPr>
        <w:t xml:space="preserve">, uma vez que </w:t>
      </w:r>
      <w:r w:rsidR="00295CD6" w:rsidRPr="009020D5">
        <w:rPr>
          <w:rFonts w:ascii="Times New Roman" w:hAnsi="Times New Roman" w:cs="Times New Roman"/>
          <w:sz w:val="24"/>
          <w:szCs w:val="24"/>
        </w:rPr>
        <w:t>prev</w:t>
      </w:r>
      <w:r w:rsidR="00A41407" w:rsidRPr="009020D5">
        <w:rPr>
          <w:rFonts w:ascii="Times New Roman" w:hAnsi="Times New Roman" w:cs="Times New Roman"/>
          <w:sz w:val="24"/>
          <w:szCs w:val="24"/>
        </w:rPr>
        <w:t>ê quatro instâncias recursais</w:t>
      </w:r>
      <w:r w:rsidR="00BC4F52" w:rsidRPr="00902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C94" w:rsidRPr="009020D5" w:rsidRDefault="00BC4F52" w:rsidP="009C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Assim, caso uma demanda seja negada ou seu prazo não seja cumprido, o próprio Sistema Eletrônico do Serviço de Informação ao Cidadão (</w:t>
      </w:r>
      <w:proofErr w:type="spellStart"/>
      <w:r w:rsidRPr="009020D5">
        <w:rPr>
          <w:rFonts w:ascii="Times New Roman" w:hAnsi="Times New Roman" w:cs="Times New Roman"/>
          <w:sz w:val="24"/>
          <w:szCs w:val="24"/>
        </w:rPr>
        <w:t>e-SIC</w:t>
      </w:r>
      <w:proofErr w:type="spellEnd"/>
      <w:r w:rsidRPr="009020D5">
        <w:rPr>
          <w:rFonts w:ascii="Times New Roman" w:hAnsi="Times New Roman" w:cs="Times New Roman"/>
          <w:sz w:val="24"/>
          <w:szCs w:val="24"/>
        </w:rPr>
        <w:t xml:space="preserve">) disponibiliza, imediatamente, </w:t>
      </w:r>
      <w:r w:rsidR="00834035" w:rsidRPr="009020D5">
        <w:rPr>
          <w:rFonts w:ascii="Times New Roman" w:hAnsi="Times New Roman" w:cs="Times New Roman"/>
          <w:sz w:val="24"/>
          <w:szCs w:val="24"/>
        </w:rPr>
        <w:t>a possibilidade de se entrar com um recurso, que pode ser de 1ª instância, ao chefe hierárquico do setor que forneceria a informação demandada; de 2ª instância, à autoridade máxima do órgão federal; de 3ª instância, à CGU; e de 4ª instância, à Comissão Mista de Reavaliação de Informações (CMRI)</w:t>
      </w:r>
      <w:r w:rsidR="005024BC" w:rsidRPr="009020D5">
        <w:rPr>
          <w:rFonts w:ascii="Times New Roman" w:hAnsi="Times New Roman" w:cs="Times New Roman"/>
          <w:sz w:val="24"/>
          <w:szCs w:val="24"/>
        </w:rPr>
        <w:t>, um órgão colegiado composto por 10 ministérios.</w:t>
      </w:r>
      <w:r w:rsidR="009C5C94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9369C2">
        <w:rPr>
          <w:rFonts w:ascii="Times New Roman" w:hAnsi="Times New Roman" w:cs="Times New Roman"/>
          <w:sz w:val="24"/>
          <w:szCs w:val="24"/>
        </w:rPr>
        <w:t>Portanto</w:t>
      </w:r>
      <w:r w:rsidR="009C5C94" w:rsidRPr="009020D5">
        <w:rPr>
          <w:rFonts w:ascii="Times New Roman" w:hAnsi="Times New Roman" w:cs="Times New Roman"/>
          <w:sz w:val="24"/>
          <w:szCs w:val="24"/>
        </w:rPr>
        <w:t>, os números de atuação do SIC precisam levar em conta não apenas os pedidos, mas também os recursos</w:t>
      </w:r>
      <w:r w:rsidR="009369C2">
        <w:rPr>
          <w:rFonts w:ascii="Times New Roman" w:hAnsi="Times New Roman" w:cs="Times New Roman"/>
          <w:sz w:val="24"/>
          <w:szCs w:val="24"/>
        </w:rPr>
        <w:t xml:space="preserve"> registrados</w:t>
      </w:r>
      <w:r w:rsidR="009C5C94" w:rsidRPr="009020D5">
        <w:rPr>
          <w:rFonts w:ascii="Times New Roman" w:hAnsi="Times New Roman" w:cs="Times New Roman"/>
          <w:sz w:val="24"/>
          <w:szCs w:val="24"/>
        </w:rPr>
        <w:t>.</w:t>
      </w:r>
    </w:p>
    <w:p w:rsidR="00AF0FAE" w:rsidRPr="009020D5" w:rsidRDefault="00421D93" w:rsidP="00AF0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lastRenderedPageBreak/>
        <w:t xml:space="preserve">Cabe ressaltar, ainda, que, como </w:t>
      </w:r>
      <w:r w:rsidR="00B8274B" w:rsidRPr="009020D5">
        <w:rPr>
          <w:rFonts w:ascii="Times New Roman" w:hAnsi="Times New Roman" w:cs="Times New Roman"/>
          <w:sz w:val="24"/>
          <w:szCs w:val="24"/>
        </w:rPr>
        <w:t>a UFMG</w:t>
      </w:r>
      <w:r w:rsidR="00A239CA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F073A3" w:rsidRPr="009020D5">
        <w:rPr>
          <w:rFonts w:ascii="Times New Roman" w:hAnsi="Times New Roman" w:cs="Times New Roman"/>
          <w:sz w:val="24"/>
          <w:szCs w:val="24"/>
        </w:rPr>
        <w:t xml:space="preserve">utiliza o </w:t>
      </w:r>
      <w:proofErr w:type="spellStart"/>
      <w:r w:rsidRPr="009020D5">
        <w:rPr>
          <w:rFonts w:ascii="Times New Roman" w:hAnsi="Times New Roman" w:cs="Times New Roman"/>
          <w:sz w:val="24"/>
          <w:szCs w:val="24"/>
        </w:rPr>
        <w:t>e-SIC</w:t>
      </w:r>
      <w:proofErr w:type="spellEnd"/>
      <w:r w:rsidRPr="009020D5">
        <w:rPr>
          <w:rFonts w:ascii="Times New Roman" w:hAnsi="Times New Roman" w:cs="Times New Roman"/>
          <w:sz w:val="24"/>
          <w:szCs w:val="24"/>
        </w:rPr>
        <w:t xml:space="preserve"> desde a implantação do Serviço de Informação ao Cidadão</w:t>
      </w:r>
      <w:r w:rsidR="00F073A3" w:rsidRPr="009020D5">
        <w:rPr>
          <w:rFonts w:ascii="Times New Roman" w:hAnsi="Times New Roman" w:cs="Times New Roman"/>
          <w:sz w:val="24"/>
          <w:szCs w:val="24"/>
        </w:rPr>
        <w:t xml:space="preserve">, </w:t>
      </w:r>
      <w:r w:rsidRPr="009020D5">
        <w:rPr>
          <w:rFonts w:ascii="Times New Roman" w:hAnsi="Times New Roman" w:cs="Times New Roman"/>
          <w:sz w:val="24"/>
          <w:szCs w:val="24"/>
        </w:rPr>
        <w:t>as análises que seguem contemplam todo o período temporal de existência do SIC na UFMG.</w:t>
      </w:r>
    </w:p>
    <w:p w:rsidR="00B8274B" w:rsidRPr="009020D5" w:rsidRDefault="00B8274B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5F0" w:rsidRPr="009020D5" w:rsidRDefault="00BB15F0" w:rsidP="00056B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GRÁFICO 3: Quantidade de pedidos e de recursos ao SIC por ano, desde 2012</w:t>
      </w:r>
    </w:p>
    <w:p w:rsidR="00BB15F0" w:rsidRPr="009020D5" w:rsidRDefault="00482F82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noProof/>
        </w:rPr>
        <w:drawing>
          <wp:inline distT="0" distB="0" distL="0" distR="0" wp14:anchorId="27889C83" wp14:editId="31E5F731">
            <wp:extent cx="4424290" cy="2539218"/>
            <wp:effectExtent l="0" t="0" r="8255" b="1397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C54827D2-1401-5948-B09C-F22FBBDEC0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15F0" w:rsidRPr="009020D5" w:rsidRDefault="00BB15F0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2"/>
      <w:r w:rsidRPr="009020D5">
        <w:rPr>
          <w:rFonts w:ascii="Times New Roman" w:hAnsi="Times New Roman" w:cs="Times New Roman"/>
          <w:szCs w:val="24"/>
        </w:rPr>
        <w:t xml:space="preserve">Fonte: relatórios disponíveis no </w:t>
      </w:r>
      <w:proofErr w:type="spellStart"/>
      <w:r w:rsidRPr="009020D5">
        <w:rPr>
          <w:rFonts w:ascii="Times New Roman" w:hAnsi="Times New Roman" w:cs="Times New Roman"/>
          <w:szCs w:val="24"/>
        </w:rPr>
        <w:t>https</w:t>
      </w:r>
      <w:proofErr w:type="spellEnd"/>
      <w:r w:rsidRPr="009020D5">
        <w:rPr>
          <w:rFonts w:ascii="Times New Roman" w:hAnsi="Times New Roman" w:cs="Times New Roman"/>
          <w:szCs w:val="24"/>
        </w:rPr>
        <w:t>://</w:t>
      </w:r>
      <w:proofErr w:type="spellStart"/>
      <w:r w:rsidRPr="009020D5">
        <w:rPr>
          <w:rFonts w:ascii="Times New Roman" w:hAnsi="Times New Roman" w:cs="Times New Roman"/>
          <w:szCs w:val="24"/>
        </w:rPr>
        <w:t>esic.cgu.gov.br</w:t>
      </w:r>
      <w:proofErr w:type="spellEnd"/>
    </w:p>
    <w:bookmarkEnd w:id="2"/>
    <w:p w:rsidR="00B8274B" w:rsidRPr="009020D5" w:rsidRDefault="00B8274B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428" w:rsidRPr="009020D5" w:rsidRDefault="004B0681" w:rsidP="008B1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O Gráfico 3</w:t>
      </w:r>
      <w:r w:rsidR="00AD0703" w:rsidRPr="009020D5">
        <w:rPr>
          <w:rFonts w:ascii="Times New Roman" w:hAnsi="Times New Roman" w:cs="Times New Roman"/>
          <w:sz w:val="24"/>
          <w:szCs w:val="24"/>
        </w:rPr>
        <w:t xml:space="preserve"> mostra que</w:t>
      </w:r>
      <w:r w:rsidR="008B1967" w:rsidRPr="009020D5">
        <w:rPr>
          <w:rFonts w:ascii="Times New Roman" w:hAnsi="Times New Roman" w:cs="Times New Roman"/>
          <w:sz w:val="24"/>
          <w:szCs w:val="24"/>
        </w:rPr>
        <w:t>, assim como a Ouvidoria,</w:t>
      </w:r>
      <w:r w:rsidR="00AD0703" w:rsidRPr="009020D5">
        <w:rPr>
          <w:rFonts w:ascii="Times New Roman" w:hAnsi="Times New Roman" w:cs="Times New Roman"/>
          <w:sz w:val="24"/>
          <w:szCs w:val="24"/>
        </w:rPr>
        <w:t xml:space="preserve"> o Serviço de Informação ao Cidadão vem crescendo </w:t>
      </w:r>
      <w:r w:rsidR="00482F82" w:rsidRPr="009020D5">
        <w:rPr>
          <w:rFonts w:ascii="Times New Roman" w:hAnsi="Times New Roman" w:cs="Times New Roman"/>
          <w:sz w:val="24"/>
          <w:szCs w:val="24"/>
        </w:rPr>
        <w:t xml:space="preserve">desde sua implantação na UFMG. </w:t>
      </w:r>
      <w:r w:rsidR="00276FF7" w:rsidRPr="009020D5">
        <w:rPr>
          <w:rFonts w:ascii="Times New Roman" w:hAnsi="Times New Roman" w:cs="Times New Roman"/>
          <w:sz w:val="24"/>
          <w:szCs w:val="24"/>
        </w:rPr>
        <w:t xml:space="preserve">Em 2018, o SIC recebeu 344 pedidos de acesso à informação, contendo 1.384 perguntas. Houve uma pequena queda no total de pedidos em relação a 2017, quando foram 365. Entretanto, os pedidos se mostraram mais detalhados, </w:t>
      </w:r>
      <w:r w:rsidR="00A239CA" w:rsidRPr="009020D5">
        <w:rPr>
          <w:rFonts w:ascii="Times New Roman" w:hAnsi="Times New Roman" w:cs="Times New Roman"/>
          <w:sz w:val="24"/>
          <w:szCs w:val="24"/>
        </w:rPr>
        <w:t xml:space="preserve">uma vez que, </w:t>
      </w:r>
      <w:r w:rsidR="00276FF7" w:rsidRPr="009020D5">
        <w:rPr>
          <w:rFonts w:ascii="Times New Roman" w:hAnsi="Times New Roman" w:cs="Times New Roman"/>
          <w:sz w:val="24"/>
          <w:szCs w:val="24"/>
        </w:rPr>
        <w:t>em 2017, as demandas reuni</w:t>
      </w:r>
      <w:r w:rsidR="00A239CA" w:rsidRPr="009020D5">
        <w:rPr>
          <w:rFonts w:ascii="Times New Roman" w:hAnsi="Times New Roman" w:cs="Times New Roman"/>
          <w:sz w:val="24"/>
          <w:szCs w:val="24"/>
        </w:rPr>
        <w:t>r</w:t>
      </w:r>
      <w:r w:rsidR="00276FF7" w:rsidRPr="009020D5">
        <w:rPr>
          <w:rFonts w:ascii="Times New Roman" w:hAnsi="Times New Roman" w:cs="Times New Roman"/>
          <w:sz w:val="24"/>
          <w:szCs w:val="24"/>
        </w:rPr>
        <w:t>am 740 perguntas.</w:t>
      </w:r>
    </w:p>
    <w:p w:rsidR="008C0428" w:rsidRPr="009020D5" w:rsidRDefault="00276FF7" w:rsidP="00586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O percentual de demandas com acesso concedido também subiu. Em 2017, foram 270 das 365, ou seja, </w:t>
      </w:r>
      <w:r w:rsidRPr="009020D5">
        <w:rPr>
          <w:rFonts w:ascii="Times New Roman" w:hAnsi="Times New Roman" w:cs="Times New Roman"/>
          <w:b/>
          <w:sz w:val="24"/>
          <w:szCs w:val="24"/>
        </w:rPr>
        <w:t>74%</w:t>
      </w:r>
      <w:r w:rsidRPr="009020D5">
        <w:rPr>
          <w:rFonts w:ascii="Times New Roman" w:hAnsi="Times New Roman" w:cs="Times New Roman"/>
          <w:sz w:val="24"/>
          <w:szCs w:val="24"/>
        </w:rPr>
        <w:t xml:space="preserve">; em 2018 esse índice </w:t>
      </w:r>
      <w:r w:rsidR="0066576B">
        <w:rPr>
          <w:rFonts w:ascii="Times New Roman" w:hAnsi="Times New Roman" w:cs="Times New Roman"/>
          <w:sz w:val="24"/>
          <w:szCs w:val="24"/>
        </w:rPr>
        <w:t>cresceu</w:t>
      </w:r>
      <w:r w:rsidRPr="009020D5">
        <w:rPr>
          <w:rFonts w:ascii="Times New Roman" w:hAnsi="Times New Roman" w:cs="Times New Roman"/>
          <w:sz w:val="24"/>
          <w:szCs w:val="24"/>
        </w:rPr>
        <w:t xml:space="preserve"> para </w:t>
      </w:r>
      <w:r w:rsidRPr="009020D5">
        <w:rPr>
          <w:rFonts w:ascii="Times New Roman" w:hAnsi="Times New Roman" w:cs="Times New Roman"/>
          <w:b/>
          <w:sz w:val="24"/>
          <w:szCs w:val="24"/>
        </w:rPr>
        <w:t>81,7%</w:t>
      </w:r>
      <w:r w:rsidRPr="009020D5">
        <w:rPr>
          <w:rFonts w:ascii="Times New Roman" w:hAnsi="Times New Roman" w:cs="Times New Roman"/>
          <w:sz w:val="24"/>
          <w:szCs w:val="24"/>
        </w:rPr>
        <w:t xml:space="preserve"> (ou 281 demandas com acesso integralmente </w:t>
      </w:r>
      <w:r w:rsidR="0066576B">
        <w:rPr>
          <w:rFonts w:ascii="Times New Roman" w:hAnsi="Times New Roman" w:cs="Times New Roman"/>
          <w:sz w:val="24"/>
          <w:szCs w:val="24"/>
        </w:rPr>
        <w:t>concedido, de um total de 344).</w:t>
      </w:r>
      <w:r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66576B">
        <w:rPr>
          <w:rFonts w:ascii="Times New Roman" w:hAnsi="Times New Roman" w:cs="Times New Roman"/>
          <w:sz w:val="24"/>
          <w:szCs w:val="24"/>
        </w:rPr>
        <w:t>A</w:t>
      </w:r>
      <w:r w:rsidR="00E82EDE" w:rsidRPr="009020D5">
        <w:rPr>
          <w:rFonts w:ascii="Times New Roman" w:hAnsi="Times New Roman" w:cs="Times New Roman"/>
          <w:sz w:val="24"/>
          <w:szCs w:val="24"/>
        </w:rPr>
        <w:t xml:space="preserve">penas </w:t>
      </w:r>
      <w:r w:rsidR="00E82EDE" w:rsidRPr="009D51FF">
        <w:rPr>
          <w:rFonts w:ascii="Times New Roman" w:hAnsi="Times New Roman" w:cs="Times New Roman"/>
          <w:b/>
          <w:sz w:val="24"/>
          <w:szCs w:val="24"/>
        </w:rPr>
        <w:t>15</w:t>
      </w:r>
      <w:r w:rsidR="00E82EDE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B26614" w:rsidRPr="009020D5">
        <w:rPr>
          <w:rFonts w:ascii="Times New Roman" w:hAnsi="Times New Roman" w:cs="Times New Roman"/>
          <w:sz w:val="24"/>
          <w:szCs w:val="24"/>
        </w:rPr>
        <w:t>pedidos</w:t>
      </w:r>
      <w:r w:rsidR="00E82EDE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B26614" w:rsidRPr="009020D5">
        <w:rPr>
          <w:rFonts w:ascii="Times New Roman" w:hAnsi="Times New Roman" w:cs="Times New Roman"/>
          <w:sz w:val="24"/>
          <w:szCs w:val="24"/>
        </w:rPr>
        <w:t>tiveram acesso negado durante todo o ano de 2018.</w:t>
      </w:r>
    </w:p>
    <w:p w:rsidR="00E82EDE" w:rsidRPr="009020D5" w:rsidRDefault="00C10612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Essa busca por transparência se reflete no percentual de recursos aos quais a Universidade precisa responder. Em 2017, foram </w:t>
      </w:r>
      <w:r w:rsidR="00715362" w:rsidRPr="009020D5">
        <w:rPr>
          <w:rFonts w:ascii="Times New Roman" w:hAnsi="Times New Roman" w:cs="Times New Roman"/>
          <w:sz w:val="24"/>
          <w:szCs w:val="24"/>
        </w:rPr>
        <w:t xml:space="preserve">no total </w:t>
      </w:r>
      <w:r w:rsidRPr="009020D5">
        <w:rPr>
          <w:rFonts w:ascii="Times New Roman" w:hAnsi="Times New Roman" w:cs="Times New Roman"/>
          <w:sz w:val="24"/>
          <w:szCs w:val="24"/>
        </w:rPr>
        <w:t>7</w:t>
      </w:r>
      <w:r w:rsidR="009A2431" w:rsidRPr="009020D5">
        <w:rPr>
          <w:rFonts w:ascii="Times New Roman" w:hAnsi="Times New Roman" w:cs="Times New Roman"/>
          <w:sz w:val="24"/>
          <w:szCs w:val="24"/>
        </w:rPr>
        <w:t>2</w:t>
      </w:r>
      <w:r w:rsidRPr="009020D5">
        <w:rPr>
          <w:rFonts w:ascii="Times New Roman" w:hAnsi="Times New Roman" w:cs="Times New Roman"/>
          <w:sz w:val="24"/>
          <w:szCs w:val="24"/>
        </w:rPr>
        <w:t xml:space="preserve">, </w:t>
      </w:r>
      <w:r w:rsidR="00715362" w:rsidRPr="009020D5">
        <w:rPr>
          <w:rFonts w:ascii="Times New Roman" w:hAnsi="Times New Roman" w:cs="Times New Roman"/>
          <w:sz w:val="24"/>
          <w:szCs w:val="24"/>
        </w:rPr>
        <w:t xml:space="preserve">somando </w:t>
      </w:r>
      <w:r w:rsidRPr="009020D5">
        <w:rPr>
          <w:rFonts w:ascii="Times New Roman" w:hAnsi="Times New Roman" w:cs="Times New Roman"/>
          <w:sz w:val="24"/>
          <w:szCs w:val="24"/>
        </w:rPr>
        <w:t xml:space="preserve">os recursos </w:t>
      </w:r>
      <w:r w:rsidR="00715362" w:rsidRPr="009020D5">
        <w:rPr>
          <w:rFonts w:ascii="Times New Roman" w:hAnsi="Times New Roman" w:cs="Times New Roman"/>
          <w:sz w:val="24"/>
          <w:szCs w:val="24"/>
        </w:rPr>
        <w:t xml:space="preserve">de </w:t>
      </w:r>
      <w:r w:rsidRPr="009020D5">
        <w:rPr>
          <w:rFonts w:ascii="Times New Roman" w:hAnsi="Times New Roman" w:cs="Times New Roman"/>
          <w:sz w:val="24"/>
          <w:szCs w:val="24"/>
        </w:rPr>
        <w:t>1ª</w:t>
      </w:r>
      <w:r w:rsidR="00715362" w:rsidRPr="009020D5">
        <w:rPr>
          <w:rFonts w:ascii="Times New Roman" w:hAnsi="Times New Roman" w:cs="Times New Roman"/>
          <w:sz w:val="24"/>
          <w:szCs w:val="24"/>
        </w:rPr>
        <w:t>, 2ª</w:t>
      </w:r>
      <w:r w:rsidR="00863222">
        <w:rPr>
          <w:rFonts w:ascii="Times New Roman" w:hAnsi="Times New Roman" w:cs="Times New Roman"/>
          <w:sz w:val="24"/>
          <w:szCs w:val="24"/>
        </w:rPr>
        <w:t>, 3ª e 4ª i</w:t>
      </w:r>
      <w:r w:rsidR="00715362" w:rsidRPr="009020D5">
        <w:rPr>
          <w:rFonts w:ascii="Times New Roman" w:hAnsi="Times New Roman" w:cs="Times New Roman"/>
          <w:sz w:val="24"/>
          <w:szCs w:val="24"/>
        </w:rPr>
        <w:t>nstâncias</w:t>
      </w:r>
      <w:r w:rsidR="00772714" w:rsidRPr="009020D5">
        <w:rPr>
          <w:rFonts w:ascii="Times New Roman" w:hAnsi="Times New Roman" w:cs="Times New Roman"/>
          <w:sz w:val="24"/>
          <w:szCs w:val="24"/>
        </w:rPr>
        <w:t>; em 2018, esse n</w:t>
      </w:r>
      <w:r w:rsidR="006616FB" w:rsidRPr="009020D5">
        <w:rPr>
          <w:rFonts w:ascii="Times New Roman" w:hAnsi="Times New Roman" w:cs="Times New Roman"/>
          <w:sz w:val="24"/>
          <w:szCs w:val="24"/>
        </w:rPr>
        <w:t>úmero caiu para 54. Tais números estão divididos por instância no GRAF.4</w:t>
      </w:r>
      <w:r w:rsidR="00430F5F" w:rsidRPr="009020D5">
        <w:rPr>
          <w:rFonts w:ascii="Times New Roman" w:hAnsi="Times New Roman" w:cs="Times New Roman"/>
          <w:sz w:val="24"/>
          <w:szCs w:val="24"/>
        </w:rPr>
        <w:t>.</w:t>
      </w:r>
    </w:p>
    <w:p w:rsidR="00B26614" w:rsidRPr="009020D5" w:rsidRDefault="00B266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F01" w:rsidRPr="009020D5" w:rsidRDefault="00664F01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614" w:rsidRPr="009020D5" w:rsidRDefault="00413E5A" w:rsidP="00056B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GRÁFICO 4: Recursos de 1ª, 2</w:t>
      </w:r>
      <w:proofErr w:type="gramStart"/>
      <w:r>
        <w:rPr>
          <w:rFonts w:ascii="Times New Roman" w:hAnsi="Times New Roman" w:cs="Times New Roman"/>
          <w:sz w:val="24"/>
          <w:szCs w:val="24"/>
        </w:rPr>
        <w:t>ª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14" w:rsidRPr="009020D5">
        <w:rPr>
          <w:rFonts w:ascii="Times New Roman" w:hAnsi="Times New Roman" w:cs="Times New Roman"/>
          <w:sz w:val="24"/>
          <w:szCs w:val="24"/>
        </w:rPr>
        <w:t xml:space="preserve">3ª </w:t>
      </w:r>
      <w:r>
        <w:rPr>
          <w:rFonts w:ascii="Times New Roman" w:hAnsi="Times New Roman" w:cs="Times New Roman"/>
          <w:sz w:val="24"/>
          <w:szCs w:val="24"/>
        </w:rPr>
        <w:t xml:space="preserve">e 4ª </w:t>
      </w:r>
      <w:r w:rsidR="00B26614" w:rsidRPr="009020D5">
        <w:rPr>
          <w:rFonts w:ascii="Times New Roman" w:hAnsi="Times New Roman" w:cs="Times New Roman"/>
          <w:sz w:val="24"/>
          <w:szCs w:val="24"/>
        </w:rPr>
        <w:t>instâncias recebidos desde 2012</w:t>
      </w:r>
    </w:p>
    <w:p w:rsidR="00B26614" w:rsidRPr="009020D5" w:rsidRDefault="00B266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noProof/>
        </w:rPr>
        <w:drawing>
          <wp:inline distT="0" distB="0" distL="0" distR="0" wp14:anchorId="0EAE156F" wp14:editId="79B6441C">
            <wp:extent cx="4438357" cy="2454813"/>
            <wp:effectExtent l="0" t="0" r="6985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B3FB0DE-198D-6649-9846-958C90BB6F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6614" w:rsidRPr="009020D5" w:rsidRDefault="00B266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3"/>
      <w:r w:rsidRPr="009020D5">
        <w:rPr>
          <w:rFonts w:ascii="Times New Roman" w:hAnsi="Times New Roman" w:cs="Times New Roman"/>
          <w:szCs w:val="24"/>
        </w:rPr>
        <w:t xml:space="preserve">Fonte: relatórios disponíveis no </w:t>
      </w:r>
      <w:proofErr w:type="spellStart"/>
      <w:r w:rsidRPr="009020D5">
        <w:rPr>
          <w:rFonts w:ascii="Times New Roman" w:hAnsi="Times New Roman" w:cs="Times New Roman"/>
          <w:szCs w:val="24"/>
        </w:rPr>
        <w:t>https</w:t>
      </w:r>
      <w:proofErr w:type="spellEnd"/>
      <w:r w:rsidRPr="009020D5">
        <w:rPr>
          <w:rFonts w:ascii="Times New Roman" w:hAnsi="Times New Roman" w:cs="Times New Roman"/>
          <w:szCs w:val="24"/>
        </w:rPr>
        <w:t>://</w:t>
      </w:r>
      <w:proofErr w:type="spellStart"/>
      <w:r w:rsidRPr="009020D5">
        <w:rPr>
          <w:rFonts w:ascii="Times New Roman" w:hAnsi="Times New Roman" w:cs="Times New Roman"/>
          <w:szCs w:val="24"/>
        </w:rPr>
        <w:t>esic.cgu.gov.br</w:t>
      </w:r>
      <w:proofErr w:type="spellEnd"/>
    </w:p>
    <w:bookmarkEnd w:id="3"/>
    <w:p w:rsidR="00B26614" w:rsidRPr="009020D5" w:rsidRDefault="00B266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2BF" w:rsidRPr="009020D5" w:rsidRDefault="004132BF" w:rsidP="001A3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Como se pode perceber ao comparar os GRAF. 3 e GRAF. 4, o aumento do número de pedidos registrados nos últimos anos gera um esperável aumento no número </w:t>
      </w:r>
      <w:r w:rsidR="00BA586F" w:rsidRPr="009020D5">
        <w:rPr>
          <w:rFonts w:ascii="Times New Roman" w:hAnsi="Times New Roman" w:cs="Times New Roman"/>
          <w:sz w:val="24"/>
          <w:szCs w:val="24"/>
        </w:rPr>
        <w:t xml:space="preserve">absoluto </w:t>
      </w:r>
      <w:r w:rsidR="001E5ABB" w:rsidRPr="009020D5">
        <w:rPr>
          <w:rFonts w:ascii="Times New Roman" w:hAnsi="Times New Roman" w:cs="Times New Roman"/>
          <w:sz w:val="24"/>
          <w:szCs w:val="24"/>
        </w:rPr>
        <w:t>de recursos</w:t>
      </w:r>
      <w:r w:rsidR="00BA586F" w:rsidRPr="009020D5">
        <w:rPr>
          <w:rFonts w:ascii="Times New Roman" w:hAnsi="Times New Roman" w:cs="Times New Roman"/>
          <w:sz w:val="24"/>
          <w:szCs w:val="24"/>
        </w:rPr>
        <w:t>.</w:t>
      </w:r>
      <w:r w:rsidR="001E5ABB" w:rsidRPr="009020D5">
        <w:rPr>
          <w:rFonts w:ascii="Times New Roman" w:hAnsi="Times New Roman" w:cs="Times New Roman"/>
          <w:sz w:val="24"/>
          <w:szCs w:val="24"/>
        </w:rPr>
        <w:t xml:space="preserve"> Entretanto, </w:t>
      </w:r>
      <w:r w:rsidR="00554C33" w:rsidRPr="009020D5">
        <w:rPr>
          <w:rFonts w:ascii="Times New Roman" w:hAnsi="Times New Roman" w:cs="Times New Roman"/>
          <w:sz w:val="24"/>
          <w:szCs w:val="24"/>
        </w:rPr>
        <w:t xml:space="preserve">há uma </w:t>
      </w:r>
      <w:r w:rsidR="00DC72E6" w:rsidRPr="009020D5">
        <w:rPr>
          <w:rFonts w:ascii="Times New Roman" w:hAnsi="Times New Roman" w:cs="Times New Roman"/>
          <w:sz w:val="24"/>
          <w:szCs w:val="24"/>
        </w:rPr>
        <w:t xml:space="preserve">queda </w:t>
      </w:r>
      <w:r w:rsidR="00655ABB" w:rsidRPr="009020D5">
        <w:rPr>
          <w:rFonts w:ascii="Times New Roman" w:hAnsi="Times New Roman" w:cs="Times New Roman"/>
          <w:sz w:val="24"/>
          <w:szCs w:val="24"/>
        </w:rPr>
        <w:t xml:space="preserve">percentual </w:t>
      </w:r>
      <w:r w:rsidR="00554C33" w:rsidRPr="009020D5">
        <w:rPr>
          <w:rFonts w:ascii="Times New Roman" w:hAnsi="Times New Roman" w:cs="Times New Roman"/>
          <w:sz w:val="24"/>
          <w:szCs w:val="24"/>
        </w:rPr>
        <w:t>nessa relação. Em 2017, o número de recursos equivaleu a 19,7% do total de pedidos; em 2018, esse índice caiu para 15,7%.</w:t>
      </w:r>
    </w:p>
    <w:p w:rsidR="00D42190" w:rsidRPr="009020D5" w:rsidRDefault="00D42190" w:rsidP="004F43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359" w:rsidRPr="009020D5" w:rsidRDefault="005B4D00" w:rsidP="006C00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GRÁFICO 5: Quantidade de pedidos e de recursos ao SIC por mês, </w:t>
      </w:r>
      <w:r w:rsidR="003430B1">
        <w:rPr>
          <w:rFonts w:ascii="Times New Roman" w:hAnsi="Times New Roman" w:cs="Times New Roman"/>
          <w:sz w:val="24"/>
          <w:szCs w:val="24"/>
        </w:rPr>
        <w:t xml:space="preserve">de </w:t>
      </w:r>
      <w:r w:rsidRPr="009020D5">
        <w:rPr>
          <w:rFonts w:ascii="Times New Roman" w:hAnsi="Times New Roman" w:cs="Times New Roman"/>
          <w:sz w:val="24"/>
          <w:szCs w:val="24"/>
        </w:rPr>
        <w:t>janeiro de 2018</w:t>
      </w:r>
      <w:r w:rsidR="003430B1">
        <w:rPr>
          <w:rFonts w:ascii="Times New Roman" w:hAnsi="Times New Roman" w:cs="Times New Roman"/>
          <w:sz w:val="24"/>
          <w:szCs w:val="24"/>
        </w:rPr>
        <w:t xml:space="preserve"> a janeiro de 2019</w:t>
      </w:r>
    </w:p>
    <w:p w:rsidR="0022686A" w:rsidRPr="009020D5" w:rsidRDefault="0022686A" w:rsidP="004F43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noProof/>
        </w:rPr>
        <w:drawing>
          <wp:inline distT="0" distB="0" distL="0" distR="0" wp14:anchorId="00440CF8" wp14:editId="56D1FBD0">
            <wp:extent cx="4417256" cy="2672861"/>
            <wp:effectExtent l="0" t="0" r="15240" b="698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B672B2E-742A-6C46-91EF-B0D83BB4B2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4D00" w:rsidRPr="009020D5" w:rsidRDefault="005B4D00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Cs w:val="24"/>
        </w:rPr>
        <w:t xml:space="preserve">Fonte: relatórios disponíveis no </w:t>
      </w:r>
      <w:proofErr w:type="spellStart"/>
      <w:r w:rsidRPr="009020D5">
        <w:rPr>
          <w:rFonts w:ascii="Times New Roman" w:hAnsi="Times New Roman" w:cs="Times New Roman"/>
          <w:szCs w:val="24"/>
        </w:rPr>
        <w:t>https</w:t>
      </w:r>
      <w:proofErr w:type="spellEnd"/>
      <w:r w:rsidRPr="009020D5">
        <w:rPr>
          <w:rFonts w:ascii="Times New Roman" w:hAnsi="Times New Roman" w:cs="Times New Roman"/>
          <w:szCs w:val="24"/>
        </w:rPr>
        <w:t>://</w:t>
      </w:r>
      <w:proofErr w:type="spellStart"/>
      <w:r w:rsidRPr="009020D5">
        <w:rPr>
          <w:rFonts w:ascii="Times New Roman" w:hAnsi="Times New Roman" w:cs="Times New Roman"/>
          <w:szCs w:val="24"/>
        </w:rPr>
        <w:t>esic.cgu.gov.br</w:t>
      </w:r>
      <w:proofErr w:type="spellEnd"/>
    </w:p>
    <w:p w:rsidR="00D42190" w:rsidRPr="009020D5" w:rsidRDefault="00D42190" w:rsidP="00D42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86A" w:rsidRPr="009020D5" w:rsidRDefault="00D42190" w:rsidP="00D42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Se olharmos de perto para os últimos meses, podemos </w:t>
      </w:r>
      <w:r w:rsidR="00F23C65">
        <w:rPr>
          <w:rFonts w:ascii="Times New Roman" w:hAnsi="Times New Roman" w:cs="Times New Roman"/>
          <w:sz w:val="24"/>
          <w:szCs w:val="24"/>
        </w:rPr>
        <w:t>notar</w:t>
      </w:r>
      <w:r w:rsidRPr="009020D5">
        <w:rPr>
          <w:rFonts w:ascii="Times New Roman" w:hAnsi="Times New Roman" w:cs="Times New Roman"/>
          <w:sz w:val="24"/>
          <w:szCs w:val="24"/>
        </w:rPr>
        <w:t xml:space="preserve"> ainda mais distintamente a queda na quantidade absoluta de recursos que têm sido apresentados ao SIC. O GRAF. 5 mostra um crescimento na quantidade de recursos </w:t>
      </w:r>
      <w:r w:rsidR="00C71E07" w:rsidRPr="009020D5">
        <w:rPr>
          <w:rFonts w:ascii="Times New Roman" w:hAnsi="Times New Roman" w:cs="Times New Roman"/>
          <w:sz w:val="24"/>
          <w:szCs w:val="24"/>
        </w:rPr>
        <w:t xml:space="preserve">em </w:t>
      </w:r>
      <w:r w:rsidRPr="009020D5">
        <w:rPr>
          <w:rFonts w:ascii="Times New Roman" w:hAnsi="Times New Roman" w:cs="Times New Roman"/>
          <w:sz w:val="24"/>
          <w:szCs w:val="24"/>
        </w:rPr>
        <w:t xml:space="preserve">abril de 2018, com pequena queda em julho daquele ano e ápice anual em agosto. A partir de então, </w:t>
      </w:r>
      <w:r w:rsidR="002B7BC8">
        <w:rPr>
          <w:rFonts w:ascii="Times New Roman" w:hAnsi="Times New Roman" w:cs="Times New Roman"/>
          <w:sz w:val="24"/>
          <w:szCs w:val="24"/>
        </w:rPr>
        <w:t xml:space="preserve">os recursos apresentados ao SIC </w:t>
      </w:r>
      <w:r w:rsidRPr="009020D5">
        <w:rPr>
          <w:rFonts w:ascii="Times New Roman" w:hAnsi="Times New Roman" w:cs="Times New Roman"/>
          <w:sz w:val="24"/>
          <w:szCs w:val="24"/>
        </w:rPr>
        <w:t xml:space="preserve">UFMG tiveram uma queda significativa em números absolutos, retomando os patamares do começo de 2018. Curiosamente, ao contrário de </w:t>
      </w:r>
      <w:r w:rsidR="00AC45C2">
        <w:rPr>
          <w:rFonts w:ascii="Times New Roman" w:hAnsi="Times New Roman" w:cs="Times New Roman"/>
          <w:sz w:val="24"/>
          <w:szCs w:val="24"/>
        </w:rPr>
        <w:t xml:space="preserve">períodos </w:t>
      </w:r>
      <w:r w:rsidRPr="009020D5">
        <w:rPr>
          <w:rFonts w:ascii="Times New Roman" w:hAnsi="Times New Roman" w:cs="Times New Roman"/>
          <w:sz w:val="24"/>
          <w:szCs w:val="24"/>
        </w:rPr>
        <w:t xml:space="preserve">anteriores, em junho de 2018, quando há um grande crescimento da quantidade de pedidos, os recursos têm queda em relação ao mês anterior, se mantendo assim em julho. </w:t>
      </w:r>
    </w:p>
    <w:p w:rsidR="00EC19F9" w:rsidRPr="009020D5" w:rsidRDefault="00C57B52" w:rsidP="00957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Ainda em relação aos recursos, </w:t>
      </w:r>
      <w:r w:rsidR="00D933F2" w:rsidRPr="009020D5">
        <w:rPr>
          <w:rFonts w:ascii="Times New Roman" w:hAnsi="Times New Roman" w:cs="Times New Roman"/>
          <w:sz w:val="24"/>
          <w:szCs w:val="24"/>
        </w:rPr>
        <w:t>o GRAF. 6 mostra que</w:t>
      </w:r>
      <w:r w:rsidRPr="009020D5">
        <w:rPr>
          <w:rFonts w:ascii="Times New Roman" w:hAnsi="Times New Roman" w:cs="Times New Roman"/>
          <w:sz w:val="24"/>
          <w:szCs w:val="24"/>
        </w:rPr>
        <w:t xml:space="preserve"> a UFMG </w:t>
      </w:r>
      <w:r w:rsidR="00A10732" w:rsidRPr="009020D5">
        <w:rPr>
          <w:rFonts w:ascii="Times New Roman" w:hAnsi="Times New Roman" w:cs="Times New Roman"/>
          <w:sz w:val="24"/>
          <w:szCs w:val="24"/>
        </w:rPr>
        <w:t>tem se esforçado para resolver as situações que os envolvem de forma mais breve. D</w:t>
      </w:r>
      <w:r w:rsidR="00F55EAF" w:rsidRPr="009020D5">
        <w:rPr>
          <w:rFonts w:ascii="Times New Roman" w:hAnsi="Times New Roman" w:cs="Times New Roman"/>
          <w:sz w:val="24"/>
          <w:szCs w:val="24"/>
        </w:rPr>
        <w:t xml:space="preserve">e outubro de 2018 a janeiro de 2019, os recursos recebidos foram todos </w:t>
      </w:r>
      <w:r w:rsidR="00D933F2" w:rsidRPr="009020D5">
        <w:rPr>
          <w:rFonts w:ascii="Times New Roman" w:hAnsi="Times New Roman" w:cs="Times New Roman"/>
          <w:sz w:val="24"/>
          <w:szCs w:val="24"/>
        </w:rPr>
        <w:t>solucionados</w:t>
      </w:r>
      <w:r w:rsidR="00F55EAF" w:rsidRPr="009020D5">
        <w:rPr>
          <w:rFonts w:ascii="Times New Roman" w:hAnsi="Times New Roman" w:cs="Times New Roman"/>
          <w:sz w:val="24"/>
          <w:szCs w:val="24"/>
        </w:rPr>
        <w:t xml:space="preserve"> na 1ª. instância, o que indica uma disponibilidade da UFMG no sentido de fornecer as informações a seu alcance, de acordo com as determinações da Lei de Acesso à Informação (LAI). </w:t>
      </w:r>
    </w:p>
    <w:p w:rsidR="00957B92" w:rsidRPr="009020D5" w:rsidRDefault="00957B92" w:rsidP="00957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9F9" w:rsidRPr="009020D5" w:rsidRDefault="00EC19F9" w:rsidP="00EC1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GRÁFICO 6: Recursos de 1ª, 2ª e 3ª instâncias recebidos por mês desde janeiro de 2018</w:t>
      </w:r>
    </w:p>
    <w:p w:rsidR="00EC19F9" w:rsidRPr="009020D5" w:rsidRDefault="00EC19F9" w:rsidP="00EC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noProof/>
        </w:rPr>
        <w:drawing>
          <wp:inline distT="0" distB="0" distL="0" distR="0" wp14:anchorId="40C8BF58" wp14:editId="7061634A">
            <wp:extent cx="4452425" cy="2419643"/>
            <wp:effectExtent l="0" t="0" r="18415" b="635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D988CF81-BC63-3048-BA7B-A7526F56A6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19F9" w:rsidRPr="009020D5" w:rsidRDefault="00EC19F9" w:rsidP="00EC1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Cs w:val="24"/>
        </w:rPr>
        <w:t xml:space="preserve">Fonte: relatórios disponíveis no </w:t>
      </w:r>
      <w:proofErr w:type="spellStart"/>
      <w:r w:rsidRPr="009020D5">
        <w:rPr>
          <w:rFonts w:ascii="Times New Roman" w:hAnsi="Times New Roman" w:cs="Times New Roman"/>
          <w:szCs w:val="24"/>
        </w:rPr>
        <w:t>https</w:t>
      </w:r>
      <w:proofErr w:type="spellEnd"/>
      <w:r w:rsidRPr="009020D5">
        <w:rPr>
          <w:rFonts w:ascii="Times New Roman" w:hAnsi="Times New Roman" w:cs="Times New Roman"/>
          <w:szCs w:val="24"/>
        </w:rPr>
        <w:t>://</w:t>
      </w:r>
      <w:proofErr w:type="spellStart"/>
      <w:r w:rsidRPr="009020D5">
        <w:rPr>
          <w:rFonts w:ascii="Times New Roman" w:hAnsi="Times New Roman" w:cs="Times New Roman"/>
          <w:szCs w:val="24"/>
        </w:rPr>
        <w:t>esic.cgu.gov.br</w:t>
      </w:r>
      <w:proofErr w:type="spellEnd"/>
    </w:p>
    <w:p w:rsidR="00A01914" w:rsidRPr="009020D5" w:rsidRDefault="00A01914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9BD" w:rsidRPr="009020D5" w:rsidRDefault="00EE1E01" w:rsidP="00B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A existência</w:t>
      </w:r>
      <w:r w:rsidR="00957B92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F35FE7" w:rsidRPr="009020D5">
        <w:rPr>
          <w:rFonts w:ascii="Times New Roman" w:hAnsi="Times New Roman" w:cs="Times New Roman"/>
          <w:sz w:val="24"/>
          <w:szCs w:val="24"/>
        </w:rPr>
        <w:t xml:space="preserve">de recursos de </w:t>
      </w:r>
      <w:r w:rsidR="004E29A1" w:rsidRPr="009020D5">
        <w:rPr>
          <w:rFonts w:ascii="Times New Roman" w:hAnsi="Times New Roman" w:cs="Times New Roman"/>
          <w:sz w:val="24"/>
          <w:szCs w:val="24"/>
        </w:rPr>
        <w:t xml:space="preserve">2ª </w:t>
      </w:r>
      <w:r w:rsidR="00893D77" w:rsidRPr="009020D5">
        <w:rPr>
          <w:rFonts w:ascii="Times New Roman" w:hAnsi="Times New Roman" w:cs="Times New Roman"/>
          <w:sz w:val="24"/>
          <w:szCs w:val="24"/>
        </w:rPr>
        <w:t xml:space="preserve">e </w:t>
      </w:r>
      <w:r w:rsidR="004E29A1" w:rsidRPr="009020D5">
        <w:rPr>
          <w:rFonts w:ascii="Times New Roman" w:hAnsi="Times New Roman" w:cs="Times New Roman"/>
          <w:sz w:val="24"/>
          <w:szCs w:val="24"/>
        </w:rPr>
        <w:t>3ª</w:t>
      </w:r>
      <w:r w:rsidR="00893D77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F35FE7" w:rsidRPr="009020D5">
        <w:rPr>
          <w:rFonts w:ascii="Times New Roman" w:hAnsi="Times New Roman" w:cs="Times New Roman"/>
          <w:sz w:val="24"/>
          <w:szCs w:val="24"/>
        </w:rPr>
        <w:t>instância</w:t>
      </w:r>
      <w:r w:rsidR="00B16FAA" w:rsidRPr="009020D5">
        <w:rPr>
          <w:rFonts w:ascii="Times New Roman" w:hAnsi="Times New Roman" w:cs="Times New Roman"/>
          <w:sz w:val="24"/>
          <w:szCs w:val="24"/>
        </w:rPr>
        <w:t>s é esperada</w:t>
      </w:r>
      <w:r w:rsidR="00893D77" w:rsidRPr="009020D5">
        <w:rPr>
          <w:rFonts w:ascii="Times New Roman" w:hAnsi="Times New Roman" w:cs="Times New Roman"/>
          <w:sz w:val="24"/>
          <w:szCs w:val="24"/>
        </w:rPr>
        <w:t xml:space="preserve">, como um direito do cidadão que vê negado o acesso a informações que </w:t>
      </w:r>
      <w:r w:rsidR="005E6518" w:rsidRPr="009020D5">
        <w:rPr>
          <w:rFonts w:ascii="Times New Roman" w:hAnsi="Times New Roman" w:cs="Times New Roman"/>
          <w:sz w:val="24"/>
          <w:szCs w:val="24"/>
        </w:rPr>
        <w:t>demanda</w:t>
      </w:r>
      <w:r w:rsidR="00893D77" w:rsidRPr="009020D5">
        <w:rPr>
          <w:rFonts w:ascii="Times New Roman" w:hAnsi="Times New Roman" w:cs="Times New Roman"/>
          <w:sz w:val="24"/>
          <w:szCs w:val="24"/>
        </w:rPr>
        <w:t xml:space="preserve">. </w:t>
      </w:r>
      <w:r w:rsidR="005E6518" w:rsidRPr="009020D5">
        <w:rPr>
          <w:rFonts w:ascii="Times New Roman" w:hAnsi="Times New Roman" w:cs="Times New Roman"/>
          <w:sz w:val="24"/>
          <w:szCs w:val="24"/>
        </w:rPr>
        <w:t>Entretanto, a</w:t>
      </w:r>
      <w:r w:rsidR="00D01C10" w:rsidRPr="009020D5">
        <w:rPr>
          <w:rFonts w:ascii="Times New Roman" w:hAnsi="Times New Roman" w:cs="Times New Roman"/>
          <w:sz w:val="24"/>
          <w:szCs w:val="24"/>
        </w:rPr>
        <w:t xml:space="preserve"> formação de redes de trabalho em torno dos pedidos da LAI, envolvendo a equipe do SIC e responsáveis pelos diversos setores</w:t>
      </w:r>
      <w:r w:rsidR="0069119C" w:rsidRPr="009020D5">
        <w:rPr>
          <w:rFonts w:ascii="Times New Roman" w:hAnsi="Times New Roman" w:cs="Times New Roman"/>
          <w:sz w:val="24"/>
          <w:szCs w:val="24"/>
        </w:rPr>
        <w:t>, órgãos e unidades</w:t>
      </w:r>
      <w:r w:rsidR="00D01C10" w:rsidRPr="009020D5">
        <w:rPr>
          <w:rFonts w:ascii="Times New Roman" w:hAnsi="Times New Roman" w:cs="Times New Roman"/>
          <w:sz w:val="24"/>
          <w:szCs w:val="24"/>
        </w:rPr>
        <w:t xml:space="preserve"> demandados na UFMG, tem se </w:t>
      </w:r>
      <w:r w:rsidR="00D01C10" w:rsidRPr="009020D5">
        <w:rPr>
          <w:rFonts w:ascii="Times New Roman" w:hAnsi="Times New Roman" w:cs="Times New Roman"/>
          <w:sz w:val="24"/>
          <w:szCs w:val="24"/>
        </w:rPr>
        <w:lastRenderedPageBreak/>
        <w:t xml:space="preserve">mostrado eficiente no sentido de </w:t>
      </w:r>
      <w:r w:rsidR="00A705A3" w:rsidRPr="009020D5">
        <w:rPr>
          <w:rFonts w:ascii="Times New Roman" w:hAnsi="Times New Roman" w:cs="Times New Roman"/>
          <w:sz w:val="24"/>
          <w:szCs w:val="24"/>
        </w:rPr>
        <w:t xml:space="preserve">resolver </w:t>
      </w:r>
      <w:r w:rsidR="00312619" w:rsidRPr="009020D5">
        <w:rPr>
          <w:rFonts w:ascii="Times New Roman" w:hAnsi="Times New Roman" w:cs="Times New Roman"/>
          <w:sz w:val="24"/>
          <w:szCs w:val="24"/>
        </w:rPr>
        <w:t>a maior parte d</w:t>
      </w:r>
      <w:r w:rsidR="00C5754F" w:rsidRPr="009020D5">
        <w:rPr>
          <w:rFonts w:ascii="Times New Roman" w:hAnsi="Times New Roman" w:cs="Times New Roman"/>
          <w:sz w:val="24"/>
          <w:szCs w:val="24"/>
        </w:rPr>
        <w:t>as demandas possível</w:t>
      </w:r>
      <w:r w:rsidR="00A705A3" w:rsidRPr="009020D5">
        <w:rPr>
          <w:rFonts w:ascii="Times New Roman" w:hAnsi="Times New Roman" w:cs="Times New Roman"/>
          <w:sz w:val="24"/>
          <w:szCs w:val="24"/>
        </w:rPr>
        <w:t xml:space="preserve"> ainda em seu prazo regular ou nos</w:t>
      </w:r>
      <w:r w:rsidR="00B2666D">
        <w:rPr>
          <w:rFonts w:ascii="Times New Roman" w:hAnsi="Times New Roman" w:cs="Times New Roman"/>
          <w:sz w:val="24"/>
          <w:szCs w:val="24"/>
        </w:rPr>
        <w:t xml:space="preserve"> recursos de primeira instância - m</w:t>
      </w:r>
      <w:r w:rsidR="005E6518" w:rsidRPr="009020D5">
        <w:rPr>
          <w:rFonts w:ascii="Times New Roman" w:hAnsi="Times New Roman" w:cs="Times New Roman"/>
          <w:sz w:val="24"/>
          <w:szCs w:val="24"/>
        </w:rPr>
        <w:t>esmo que se espere</w:t>
      </w:r>
      <w:r w:rsidR="00AD74CB" w:rsidRPr="009020D5">
        <w:rPr>
          <w:rFonts w:ascii="Times New Roman" w:hAnsi="Times New Roman" w:cs="Times New Roman"/>
          <w:sz w:val="24"/>
          <w:szCs w:val="24"/>
        </w:rPr>
        <w:t xml:space="preserve"> a presença de recursos de 2ª, 3ª e 4ª</w:t>
      </w:r>
      <w:r w:rsidR="005E6518" w:rsidRPr="009020D5">
        <w:rPr>
          <w:rFonts w:ascii="Times New Roman" w:hAnsi="Times New Roman" w:cs="Times New Roman"/>
          <w:sz w:val="24"/>
          <w:szCs w:val="24"/>
        </w:rPr>
        <w:t xml:space="preserve"> instância</w:t>
      </w:r>
      <w:r w:rsidR="00AD74CB" w:rsidRPr="009020D5">
        <w:rPr>
          <w:rFonts w:ascii="Times New Roman" w:hAnsi="Times New Roman" w:cs="Times New Roman"/>
          <w:sz w:val="24"/>
          <w:szCs w:val="24"/>
        </w:rPr>
        <w:t>s</w:t>
      </w:r>
      <w:r w:rsidR="005E6518" w:rsidRPr="009020D5">
        <w:rPr>
          <w:rFonts w:ascii="Times New Roman" w:hAnsi="Times New Roman" w:cs="Times New Roman"/>
          <w:sz w:val="24"/>
          <w:szCs w:val="24"/>
        </w:rPr>
        <w:t xml:space="preserve"> nos próximos meses, tendo em vista que nem sempre a UFMG tem a informação demandada ou os meios necessários para </w:t>
      </w:r>
      <w:r w:rsidR="002C1F1C">
        <w:rPr>
          <w:rFonts w:ascii="Times New Roman" w:hAnsi="Times New Roman" w:cs="Times New Roman"/>
          <w:sz w:val="24"/>
          <w:szCs w:val="24"/>
        </w:rPr>
        <w:t>entregá-</w:t>
      </w:r>
      <w:r w:rsidR="005E6518" w:rsidRPr="009020D5">
        <w:rPr>
          <w:rFonts w:ascii="Times New Roman" w:hAnsi="Times New Roman" w:cs="Times New Roman"/>
          <w:sz w:val="24"/>
          <w:szCs w:val="24"/>
        </w:rPr>
        <w:t>la no formato desejado pelos cidadãos demandantes</w:t>
      </w:r>
      <w:r w:rsidR="0039042E" w:rsidRPr="009020D5">
        <w:rPr>
          <w:rFonts w:ascii="Times New Roman" w:hAnsi="Times New Roman" w:cs="Times New Roman"/>
          <w:sz w:val="24"/>
          <w:szCs w:val="24"/>
        </w:rPr>
        <w:t>.</w:t>
      </w:r>
    </w:p>
    <w:p w:rsidR="0005104B" w:rsidRPr="009020D5" w:rsidRDefault="00E82EDE" w:rsidP="000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Outro dado que mostra o aprimoramento dos trabalho</w:t>
      </w:r>
      <w:r w:rsidR="00A239CA" w:rsidRPr="009020D5">
        <w:rPr>
          <w:rFonts w:ascii="Times New Roman" w:hAnsi="Times New Roman" w:cs="Times New Roman"/>
          <w:sz w:val="24"/>
          <w:szCs w:val="24"/>
        </w:rPr>
        <w:t>s</w:t>
      </w:r>
      <w:r w:rsidRPr="009020D5">
        <w:rPr>
          <w:rFonts w:ascii="Times New Roman" w:hAnsi="Times New Roman" w:cs="Times New Roman"/>
          <w:sz w:val="24"/>
          <w:szCs w:val="24"/>
        </w:rPr>
        <w:t xml:space="preserve"> do SIC, em diálogo com outros setores da UFMG, é a situação dos pedidos de acesso à informação. No final de 2017, </w:t>
      </w:r>
      <w:r w:rsidRPr="009020D5">
        <w:rPr>
          <w:rFonts w:ascii="Times New Roman" w:hAnsi="Times New Roman" w:cs="Times New Roman"/>
          <w:b/>
          <w:sz w:val="24"/>
          <w:szCs w:val="24"/>
        </w:rPr>
        <w:t>6,85%</w:t>
      </w:r>
      <w:r w:rsidRPr="009020D5">
        <w:rPr>
          <w:rFonts w:ascii="Times New Roman" w:hAnsi="Times New Roman" w:cs="Times New Roman"/>
          <w:sz w:val="24"/>
          <w:szCs w:val="24"/>
        </w:rPr>
        <w:t xml:space="preserve"> dos pedidos seguiam em tramitação fora do prazo. Em 2018, esse índice caiu para </w:t>
      </w:r>
      <w:r w:rsidRPr="009020D5">
        <w:rPr>
          <w:rFonts w:ascii="Times New Roman" w:hAnsi="Times New Roman" w:cs="Times New Roman"/>
          <w:b/>
          <w:sz w:val="24"/>
          <w:szCs w:val="24"/>
        </w:rPr>
        <w:t>1,74%</w:t>
      </w:r>
      <w:r w:rsidRPr="009020D5">
        <w:rPr>
          <w:rFonts w:ascii="Times New Roman" w:hAnsi="Times New Roman" w:cs="Times New Roman"/>
          <w:sz w:val="24"/>
          <w:szCs w:val="24"/>
        </w:rPr>
        <w:t>.</w:t>
      </w:r>
      <w:r w:rsidR="00E36A9E" w:rsidRPr="0090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04B" w:rsidRPr="009020D5" w:rsidRDefault="0005104B" w:rsidP="000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04B" w:rsidRPr="009020D5" w:rsidRDefault="0005104B" w:rsidP="000510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20D5">
        <w:rPr>
          <w:rFonts w:ascii="Times New Roman" w:hAnsi="Times New Roman" w:cs="Times New Roman"/>
          <w:i/>
          <w:sz w:val="24"/>
          <w:szCs w:val="24"/>
        </w:rPr>
        <w:tab/>
      </w:r>
      <w:r w:rsidRPr="009020D5">
        <w:rPr>
          <w:rFonts w:ascii="Times New Roman" w:hAnsi="Times New Roman" w:cs="Times New Roman"/>
          <w:i/>
          <w:sz w:val="24"/>
          <w:szCs w:val="24"/>
          <w:u w:val="single"/>
        </w:rPr>
        <w:t>Perguntas e recursos não respondidos</w:t>
      </w:r>
    </w:p>
    <w:p w:rsidR="0005104B" w:rsidRPr="009020D5" w:rsidRDefault="0005104B" w:rsidP="00051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DAA" w:rsidRPr="009020D5" w:rsidRDefault="006E17E2" w:rsidP="00B0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Ainda</w:t>
      </w:r>
      <w:r w:rsidR="00E36A9E" w:rsidRPr="009020D5">
        <w:rPr>
          <w:rFonts w:ascii="Times New Roman" w:hAnsi="Times New Roman" w:cs="Times New Roman"/>
          <w:sz w:val="24"/>
          <w:szCs w:val="24"/>
        </w:rPr>
        <w:t xml:space="preserve"> que haja uma queda no </w:t>
      </w:r>
      <w:r w:rsidR="001F3A07" w:rsidRPr="009020D5">
        <w:rPr>
          <w:rFonts w:ascii="Times New Roman" w:hAnsi="Times New Roman" w:cs="Times New Roman"/>
          <w:sz w:val="24"/>
          <w:szCs w:val="24"/>
        </w:rPr>
        <w:t xml:space="preserve">percentual de pedidos </w:t>
      </w:r>
      <w:r w:rsidR="006045B9" w:rsidRPr="009020D5">
        <w:rPr>
          <w:rFonts w:ascii="Times New Roman" w:hAnsi="Times New Roman" w:cs="Times New Roman"/>
          <w:sz w:val="24"/>
          <w:szCs w:val="24"/>
        </w:rPr>
        <w:t xml:space="preserve">e recursos não resolvidos no mesmo ano em que foram registrados, </w:t>
      </w:r>
      <w:r w:rsidR="00FC27F1" w:rsidRPr="009020D5">
        <w:rPr>
          <w:rFonts w:ascii="Times New Roman" w:hAnsi="Times New Roman" w:cs="Times New Roman"/>
          <w:sz w:val="24"/>
          <w:szCs w:val="24"/>
        </w:rPr>
        <w:t xml:space="preserve">a equipe do SIC detectou, no final de 2018, uma grande quantidade de </w:t>
      </w:r>
      <w:r w:rsidR="007A1A91" w:rsidRPr="009020D5">
        <w:rPr>
          <w:rFonts w:ascii="Times New Roman" w:hAnsi="Times New Roman" w:cs="Times New Roman"/>
          <w:sz w:val="24"/>
          <w:szCs w:val="24"/>
        </w:rPr>
        <w:t xml:space="preserve">pedidos e recursos pendentes no </w:t>
      </w:r>
      <w:proofErr w:type="spellStart"/>
      <w:r w:rsidR="007A1A91" w:rsidRPr="009020D5">
        <w:rPr>
          <w:rFonts w:ascii="Times New Roman" w:hAnsi="Times New Roman" w:cs="Times New Roman"/>
          <w:sz w:val="24"/>
          <w:szCs w:val="24"/>
        </w:rPr>
        <w:t>e-SIC</w:t>
      </w:r>
      <w:proofErr w:type="spellEnd"/>
      <w:r w:rsidR="00B00584" w:rsidRPr="009020D5">
        <w:rPr>
          <w:rFonts w:ascii="Times New Roman" w:hAnsi="Times New Roman" w:cs="Times New Roman"/>
          <w:sz w:val="24"/>
          <w:szCs w:val="24"/>
        </w:rPr>
        <w:t xml:space="preserve"> desde 2012</w:t>
      </w:r>
      <w:r w:rsidR="007A7D85" w:rsidRPr="009020D5">
        <w:rPr>
          <w:rFonts w:ascii="Times New Roman" w:hAnsi="Times New Roman" w:cs="Times New Roman"/>
          <w:sz w:val="24"/>
          <w:szCs w:val="24"/>
        </w:rPr>
        <w:t>, para os quais não houve resposta</w:t>
      </w:r>
      <w:r w:rsidR="0032128C" w:rsidRPr="009020D5">
        <w:rPr>
          <w:rFonts w:ascii="Times New Roman" w:hAnsi="Times New Roman" w:cs="Times New Roman"/>
          <w:sz w:val="24"/>
          <w:szCs w:val="24"/>
        </w:rPr>
        <w:t>, conforme o GRAF. 7</w:t>
      </w:r>
      <w:r w:rsidR="007A1A91" w:rsidRPr="00902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8FD" w:rsidRPr="009020D5" w:rsidRDefault="004D28FD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DAA" w:rsidRPr="009020D5" w:rsidRDefault="00D17DAA" w:rsidP="004D2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GRÁFICO 7: </w:t>
      </w:r>
      <w:r w:rsidR="00F240F5" w:rsidRPr="009020D5">
        <w:rPr>
          <w:rFonts w:ascii="Times New Roman" w:hAnsi="Times New Roman" w:cs="Times New Roman"/>
          <w:sz w:val="24"/>
          <w:szCs w:val="24"/>
        </w:rPr>
        <w:t>Quantidade de pedidos e recursos ao SIC não respondidos</w:t>
      </w:r>
      <w:r w:rsidR="004D28FD" w:rsidRPr="009020D5">
        <w:rPr>
          <w:rFonts w:ascii="Times New Roman" w:hAnsi="Times New Roman" w:cs="Times New Roman"/>
          <w:sz w:val="24"/>
          <w:szCs w:val="24"/>
        </w:rPr>
        <w:t xml:space="preserve"> por ano</w:t>
      </w:r>
    </w:p>
    <w:p w:rsidR="00D17DAA" w:rsidRPr="009020D5" w:rsidRDefault="007B7E23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76E5DC" wp14:editId="33F5CCDA">
            <wp:extent cx="4234376" cy="2405575"/>
            <wp:effectExtent l="0" t="0" r="7620" b="762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44FA8D05-D895-484D-8D40-6AF4EF4708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18BE" w:rsidRPr="009020D5" w:rsidRDefault="001418BE" w:rsidP="0005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Cs w:val="24"/>
        </w:rPr>
        <w:t>Fonte: dados do Painel Resolveu</w:t>
      </w:r>
      <w:r w:rsidR="00BA54BF" w:rsidRPr="009020D5">
        <w:rPr>
          <w:rFonts w:ascii="Times New Roman" w:hAnsi="Times New Roman" w:cs="Times New Roman"/>
          <w:szCs w:val="24"/>
        </w:rPr>
        <w:t xml:space="preserve"> em 02 de janeiro de 2019</w:t>
      </w:r>
    </w:p>
    <w:p w:rsidR="00010920" w:rsidRPr="009020D5" w:rsidRDefault="00010920" w:rsidP="00010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0B" w:rsidRPr="009020D5" w:rsidRDefault="009E0DF3" w:rsidP="00010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Em </w:t>
      </w:r>
      <w:r w:rsidR="0038735A" w:rsidRPr="009020D5">
        <w:rPr>
          <w:rFonts w:ascii="Times New Roman" w:hAnsi="Times New Roman" w:cs="Times New Roman"/>
          <w:sz w:val="24"/>
          <w:szCs w:val="24"/>
        </w:rPr>
        <w:t>02</w:t>
      </w:r>
      <w:r w:rsidRPr="009020D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536821" w:rsidRPr="009020D5">
        <w:rPr>
          <w:rFonts w:ascii="Times New Roman" w:hAnsi="Times New Roman" w:cs="Times New Roman"/>
          <w:sz w:val="24"/>
          <w:szCs w:val="24"/>
        </w:rPr>
        <w:t>, havia</w:t>
      </w:r>
      <w:r w:rsidR="0094395F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4F1523" w:rsidRPr="009020D5">
        <w:rPr>
          <w:rFonts w:ascii="Times New Roman" w:hAnsi="Times New Roman" w:cs="Times New Roman"/>
          <w:sz w:val="24"/>
          <w:szCs w:val="24"/>
        </w:rPr>
        <w:t>44</w:t>
      </w:r>
      <w:r w:rsidR="009374D1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7F5473" w:rsidRPr="009020D5">
        <w:rPr>
          <w:rFonts w:ascii="Times New Roman" w:hAnsi="Times New Roman" w:cs="Times New Roman"/>
          <w:sz w:val="24"/>
          <w:szCs w:val="24"/>
        </w:rPr>
        <w:t xml:space="preserve">pedidos de acesso a informação e </w:t>
      </w:r>
      <w:r w:rsidR="009374D1" w:rsidRPr="009020D5">
        <w:rPr>
          <w:rFonts w:ascii="Times New Roman" w:hAnsi="Times New Roman" w:cs="Times New Roman"/>
          <w:sz w:val="24"/>
          <w:szCs w:val="24"/>
        </w:rPr>
        <w:t xml:space="preserve">53 </w:t>
      </w:r>
      <w:r w:rsidR="007F5473" w:rsidRPr="009020D5">
        <w:rPr>
          <w:rFonts w:ascii="Times New Roman" w:hAnsi="Times New Roman" w:cs="Times New Roman"/>
          <w:sz w:val="24"/>
          <w:szCs w:val="24"/>
        </w:rPr>
        <w:t>recursos</w:t>
      </w:r>
      <w:r w:rsidR="009374D1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F25AB1" w:rsidRPr="009020D5">
        <w:rPr>
          <w:rFonts w:ascii="Times New Roman" w:hAnsi="Times New Roman" w:cs="Times New Roman"/>
          <w:sz w:val="24"/>
          <w:szCs w:val="24"/>
        </w:rPr>
        <w:t>pendentes</w:t>
      </w:r>
      <w:r w:rsidR="00B25CA0" w:rsidRPr="009020D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B25CA0" w:rsidRPr="009020D5">
        <w:rPr>
          <w:rFonts w:ascii="Times New Roman" w:hAnsi="Times New Roman" w:cs="Times New Roman"/>
          <w:sz w:val="24"/>
          <w:szCs w:val="24"/>
        </w:rPr>
        <w:t>e-SIC</w:t>
      </w:r>
      <w:proofErr w:type="spellEnd"/>
      <w:r w:rsidR="007F5473" w:rsidRPr="009020D5">
        <w:rPr>
          <w:rFonts w:ascii="Times New Roman" w:hAnsi="Times New Roman" w:cs="Times New Roman"/>
          <w:sz w:val="24"/>
          <w:szCs w:val="24"/>
        </w:rPr>
        <w:t>,</w:t>
      </w:r>
      <w:r w:rsidR="00536821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9374D1" w:rsidRPr="009020D5">
        <w:rPr>
          <w:rFonts w:ascii="Times New Roman" w:hAnsi="Times New Roman" w:cs="Times New Roman"/>
          <w:sz w:val="24"/>
          <w:szCs w:val="24"/>
        </w:rPr>
        <w:t xml:space="preserve">totalizando </w:t>
      </w:r>
      <w:r w:rsidR="004F1523" w:rsidRPr="009020D5">
        <w:rPr>
          <w:rFonts w:ascii="Times New Roman" w:hAnsi="Times New Roman" w:cs="Times New Roman"/>
          <w:b/>
          <w:sz w:val="24"/>
          <w:szCs w:val="24"/>
        </w:rPr>
        <w:t>97</w:t>
      </w:r>
      <w:r w:rsidR="00176E33" w:rsidRPr="009020D5">
        <w:rPr>
          <w:rFonts w:ascii="Times New Roman" w:hAnsi="Times New Roman" w:cs="Times New Roman"/>
          <w:sz w:val="24"/>
          <w:szCs w:val="24"/>
        </w:rPr>
        <w:t xml:space="preserve"> demandas não respondidas</w:t>
      </w:r>
      <w:r w:rsidR="00341759" w:rsidRPr="009020D5">
        <w:rPr>
          <w:rFonts w:ascii="Times New Roman" w:hAnsi="Times New Roman" w:cs="Times New Roman"/>
          <w:sz w:val="24"/>
          <w:szCs w:val="24"/>
        </w:rPr>
        <w:t xml:space="preserve"> entre 2012 e 2</w:t>
      </w:r>
      <w:r w:rsidR="007F5473" w:rsidRPr="009020D5">
        <w:rPr>
          <w:rFonts w:ascii="Times New Roman" w:hAnsi="Times New Roman" w:cs="Times New Roman"/>
          <w:sz w:val="24"/>
          <w:szCs w:val="24"/>
        </w:rPr>
        <w:t>018</w:t>
      </w:r>
      <w:r w:rsidR="00176E33" w:rsidRPr="009020D5">
        <w:rPr>
          <w:rFonts w:ascii="Times New Roman" w:hAnsi="Times New Roman" w:cs="Times New Roman"/>
          <w:sz w:val="24"/>
          <w:szCs w:val="24"/>
        </w:rPr>
        <w:t>.</w:t>
      </w:r>
      <w:r w:rsidR="00341759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A5642C" w:rsidRPr="009020D5">
        <w:rPr>
          <w:rFonts w:ascii="Times New Roman" w:hAnsi="Times New Roman" w:cs="Times New Roman"/>
          <w:sz w:val="24"/>
          <w:szCs w:val="24"/>
        </w:rPr>
        <w:t xml:space="preserve">Como se pode ver no GRAF. 7, </w:t>
      </w:r>
      <w:r w:rsidR="002558B3" w:rsidRPr="009020D5">
        <w:rPr>
          <w:rFonts w:ascii="Times New Roman" w:hAnsi="Times New Roman" w:cs="Times New Roman"/>
          <w:sz w:val="24"/>
          <w:szCs w:val="24"/>
        </w:rPr>
        <w:t xml:space="preserve">ainda que o ano de </w:t>
      </w:r>
      <w:r w:rsidR="00FF46EE" w:rsidRPr="009020D5">
        <w:rPr>
          <w:rFonts w:ascii="Times New Roman" w:hAnsi="Times New Roman" w:cs="Times New Roman"/>
          <w:sz w:val="24"/>
          <w:szCs w:val="24"/>
        </w:rPr>
        <w:t>2017</w:t>
      </w:r>
      <w:r w:rsidR="002558B3" w:rsidRPr="009020D5">
        <w:rPr>
          <w:rFonts w:ascii="Times New Roman" w:hAnsi="Times New Roman" w:cs="Times New Roman"/>
          <w:sz w:val="24"/>
          <w:szCs w:val="24"/>
        </w:rPr>
        <w:t xml:space="preserve"> tenha uma maior quantidade de demandas não atendidas</w:t>
      </w:r>
      <w:r w:rsidR="00A5642C" w:rsidRPr="009020D5">
        <w:rPr>
          <w:rFonts w:ascii="Times New Roman" w:hAnsi="Times New Roman" w:cs="Times New Roman"/>
          <w:sz w:val="24"/>
          <w:szCs w:val="24"/>
        </w:rPr>
        <w:t>, desde q</w:t>
      </w:r>
      <w:r w:rsidR="002558B3" w:rsidRPr="009020D5">
        <w:rPr>
          <w:rFonts w:ascii="Times New Roman" w:hAnsi="Times New Roman" w:cs="Times New Roman"/>
          <w:sz w:val="24"/>
          <w:szCs w:val="24"/>
        </w:rPr>
        <w:t>ue o SIC foi implantado na UFMG</w:t>
      </w:r>
      <w:r w:rsidR="00A5642C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EE1CBD" w:rsidRPr="009020D5">
        <w:rPr>
          <w:rFonts w:ascii="Times New Roman" w:hAnsi="Times New Roman" w:cs="Times New Roman"/>
          <w:sz w:val="24"/>
          <w:szCs w:val="24"/>
        </w:rPr>
        <w:t xml:space="preserve">há </w:t>
      </w:r>
      <w:r w:rsidR="00EE1CBD" w:rsidRPr="009020D5">
        <w:rPr>
          <w:rFonts w:ascii="Times New Roman" w:hAnsi="Times New Roman" w:cs="Times New Roman"/>
          <w:sz w:val="24"/>
          <w:szCs w:val="24"/>
        </w:rPr>
        <w:lastRenderedPageBreak/>
        <w:t xml:space="preserve">pedidos e recursos sem resposta em </w:t>
      </w:r>
      <w:r w:rsidR="00165813" w:rsidRPr="00580000">
        <w:rPr>
          <w:rFonts w:ascii="Times New Roman" w:hAnsi="Times New Roman" w:cs="Times New Roman"/>
          <w:b/>
          <w:sz w:val="24"/>
          <w:szCs w:val="24"/>
        </w:rPr>
        <w:t>todos os anos</w:t>
      </w:r>
      <w:r w:rsidR="00165813" w:rsidRPr="009020D5">
        <w:rPr>
          <w:rFonts w:ascii="Times New Roman" w:hAnsi="Times New Roman" w:cs="Times New Roman"/>
          <w:sz w:val="24"/>
          <w:szCs w:val="24"/>
        </w:rPr>
        <w:t xml:space="preserve"> – o que significa que as demandas, mesmo encaminhadas aos setores responsáveis, não foram por eles respondidas. </w:t>
      </w:r>
    </w:p>
    <w:p w:rsidR="00BE50EC" w:rsidRPr="009020D5" w:rsidRDefault="007A37A2" w:rsidP="001F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>No final de</w:t>
      </w:r>
      <w:r w:rsidR="00727746" w:rsidRPr="009020D5">
        <w:rPr>
          <w:rFonts w:ascii="Times New Roman" w:hAnsi="Times New Roman" w:cs="Times New Roman"/>
          <w:sz w:val="24"/>
          <w:szCs w:val="24"/>
        </w:rPr>
        <w:t xml:space="preserve"> 2018, ao se detectar o problema,</w:t>
      </w:r>
      <w:r w:rsidR="0032128C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FF2F18" w:rsidRPr="009020D5">
        <w:rPr>
          <w:rFonts w:ascii="Times New Roman" w:hAnsi="Times New Roman" w:cs="Times New Roman"/>
          <w:sz w:val="24"/>
          <w:szCs w:val="24"/>
        </w:rPr>
        <w:t xml:space="preserve">foi </w:t>
      </w:r>
      <w:r w:rsidR="00727746" w:rsidRPr="009020D5">
        <w:rPr>
          <w:rFonts w:ascii="Times New Roman" w:hAnsi="Times New Roman" w:cs="Times New Roman"/>
          <w:sz w:val="24"/>
          <w:szCs w:val="24"/>
        </w:rPr>
        <w:t xml:space="preserve">planejado </w:t>
      </w:r>
      <w:r w:rsidR="0032128C" w:rsidRPr="009020D5">
        <w:rPr>
          <w:rFonts w:ascii="Times New Roman" w:hAnsi="Times New Roman" w:cs="Times New Roman"/>
          <w:sz w:val="24"/>
          <w:szCs w:val="24"/>
        </w:rPr>
        <w:t>um fluxo de trabalho</w:t>
      </w:r>
      <w:r w:rsidR="00BE50EC" w:rsidRPr="009020D5">
        <w:rPr>
          <w:rFonts w:ascii="Times New Roman" w:hAnsi="Times New Roman" w:cs="Times New Roman"/>
          <w:sz w:val="24"/>
          <w:szCs w:val="24"/>
        </w:rPr>
        <w:t xml:space="preserve"> visando a solução de tais questões</w:t>
      </w:r>
      <w:r w:rsidR="00727746" w:rsidRPr="009020D5">
        <w:rPr>
          <w:rFonts w:ascii="Times New Roman" w:hAnsi="Times New Roman" w:cs="Times New Roman"/>
          <w:sz w:val="24"/>
          <w:szCs w:val="24"/>
        </w:rPr>
        <w:t xml:space="preserve">, implantado </w:t>
      </w:r>
      <w:r w:rsidR="00E46597">
        <w:rPr>
          <w:rFonts w:ascii="Times New Roman" w:hAnsi="Times New Roman" w:cs="Times New Roman"/>
          <w:sz w:val="24"/>
          <w:szCs w:val="24"/>
        </w:rPr>
        <w:t>em</w:t>
      </w:r>
      <w:r w:rsidR="00727746" w:rsidRPr="009020D5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BF7CE7" w:rsidRPr="009020D5">
        <w:rPr>
          <w:rFonts w:ascii="Times New Roman" w:hAnsi="Times New Roman" w:cs="Times New Roman"/>
          <w:sz w:val="24"/>
          <w:szCs w:val="24"/>
        </w:rPr>
        <w:t xml:space="preserve">. </w:t>
      </w:r>
      <w:r w:rsidR="00FF2F18" w:rsidRPr="009020D5">
        <w:rPr>
          <w:rFonts w:ascii="Times New Roman" w:hAnsi="Times New Roman" w:cs="Times New Roman"/>
          <w:sz w:val="24"/>
          <w:szCs w:val="24"/>
        </w:rPr>
        <w:t>A equipe do SIC</w:t>
      </w:r>
      <w:r w:rsidR="00BF7CE7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FF2F18" w:rsidRPr="009020D5">
        <w:rPr>
          <w:rFonts w:ascii="Times New Roman" w:hAnsi="Times New Roman" w:cs="Times New Roman"/>
          <w:sz w:val="24"/>
          <w:szCs w:val="24"/>
        </w:rPr>
        <w:t xml:space="preserve">passou </w:t>
      </w:r>
      <w:r w:rsidR="00BF7CE7" w:rsidRPr="009020D5">
        <w:rPr>
          <w:rFonts w:ascii="Times New Roman" w:hAnsi="Times New Roman" w:cs="Times New Roman"/>
          <w:sz w:val="24"/>
          <w:szCs w:val="24"/>
        </w:rPr>
        <w:t>a conta</w:t>
      </w:r>
      <w:r w:rsidR="00941EFF" w:rsidRPr="009020D5">
        <w:rPr>
          <w:rFonts w:ascii="Times New Roman" w:hAnsi="Times New Roman" w:cs="Times New Roman"/>
          <w:sz w:val="24"/>
          <w:szCs w:val="24"/>
        </w:rPr>
        <w:t>tar as pessoas que registraram o</w:t>
      </w:r>
      <w:r w:rsidR="00672EDC" w:rsidRPr="009020D5">
        <w:rPr>
          <w:rFonts w:ascii="Times New Roman" w:hAnsi="Times New Roman" w:cs="Times New Roman"/>
          <w:sz w:val="24"/>
          <w:szCs w:val="24"/>
        </w:rPr>
        <w:t>s</w:t>
      </w:r>
      <w:r w:rsidR="00941EFF" w:rsidRPr="009020D5">
        <w:rPr>
          <w:rFonts w:ascii="Times New Roman" w:hAnsi="Times New Roman" w:cs="Times New Roman"/>
          <w:sz w:val="24"/>
          <w:szCs w:val="24"/>
        </w:rPr>
        <w:t xml:space="preserve"> pedido</w:t>
      </w:r>
      <w:r w:rsidR="00672EDC" w:rsidRPr="009020D5">
        <w:rPr>
          <w:rFonts w:ascii="Times New Roman" w:hAnsi="Times New Roman" w:cs="Times New Roman"/>
          <w:sz w:val="24"/>
          <w:szCs w:val="24"/>
        </w:rPr>
        <w:t>s</w:t>
      </w:r>
      <w:r w:rsidR="00941EFF" w:rsidRPr="009020D5">
        <w:rPr>
          <w:rFonts w:ascii="Times New Roman" w:hAnsi="Times New Roman" w:cs="Times New Roman"/>
          <w:sz w:val="24"/>
          <w:szCs w:val="24"/>
        </w:rPr>
        <w:t>, averig</w:t>
      </w:r>
      <w:r w:rsidR="00BF7CE7" w:rsidRPr="009020D5">
        <w:rPr>
          <w:rFonts w:ascii="Times New Roman" w:hAnsi="Times New Roman" w:cs="Times New Roman"/>
          <w:sz w:val="24"/>
          <w:szCs w:val="24"/>
        </w:rPr>
        <w:t>u</w:t>
      </w:r>
      <w:r w:rsidR="00941EFF" w:rsidRPr="009020D5">
        <w:rPr>
          <w:rFonts w:ascii="Times New Roman" w:hAnsi="Times New Roman" w:cs="Times New Roman"/>
          <w:sz w:val="24"/>
          <w:szCs w:val="24"/>
        </w:rPr>
        <w:t>ando se a informação ainda é de seu interesse. Em caso de resposta positiva, o setor responsável na UFMG</w:t>
      </w:r>
      <w:r w:rsidR="00FF2F18" w:rsidRPr="009020D5">
        <w:rPr>
          <w:rFonts w:ascii="Times New Roman" w:hAnsi="Times New Roman" w:cs="Times New Roman"/>
          <w:sz w:val="24"/>
          <w:szCs w:val="24"/>
        </w:rPr>
        <w:t xml:space="preserve"> é </w:t>
      </w:r>
      <w:r w:rsidR="0053321C" w:rsidRPr="009020D5">
        <w:rPr>
          <w:rFonts w:ascii="Times New Roman" w:hAnsi="Times New Roman" w:cs="Times New Roman"/>
          <w:sz w:val="24"/>
          <w:szCs w:val="24"/>
        </w:rPr>
        <w:t>demandado</w:t>
      </w:r>
      <w:r w:rsidR="00941EFF" w:rsidRPr="009020D5">
        <w:rPr>
          <w:rFonts w:ascii="Times New Roman" w:hAnsi="Times New Roman" w:cs="Times New Roman"/>
          <w:sz w:val="24"/>
          <w:szCs w:val="24"/>
        </w:rPr>
        <w:t xml:space="preserve">, </w:t>
      </w:r>
      <w:r w:rsidR="001F4FF5" w:rsidRPr="009020D5">
        <w:rPr>
          <w:rFonts w:ascii="Times New Roman" w:hAnsi="Times New Roman" w:cs="Times New Roman"/>
          <w:sz w:val="24"/>
          <w:szCs w:val="24"/>
        </w:rPr>
        <w:t>cobrando a resposta</w:t>
      </w:r>
      <w:r w:rsidR="00FF2F18" w:rsidRPr="009020D5">
        <w:rPr>
          <w:rFonts w:ascii="Times New Roman" w:hAnsi="Times New Roman" w:cs="Times New Roman"/>
          <w:sz w:val="24"/>
          <w:szCs w:val="24"/>
        </w:rPr>
        <w:t xml:space="preserve">, que é fornecida </w:t>
      </w:r>
      <w:r w:rsidR="001F4FF5" w:rsidRPr="009020D5">
        <w:rPr>
          <w:rFonts w:ascii="Times New Roman" w:hAnsi="Times New Roman" w:cs="Times New Roman"/>
          <w:sz w:val="24"/>
          <w:szCs w:val="24"/>
        </w:rPr>
        <w:t xml:space="preserve">ao </w:t>
      </w:r>
      <w:r w:rsidR="0053321C" w:rsidRPr="009020D5">
        <w:rPr>
          <w:rFonts w:ascii="Times New Roman" w:hAnsi="Times New Roman" w:cs="Times New Roman"/>
          <w:sz w:val="24"/>
          <w:szCs w:val="24"/>
        </w:rPr>
        <w:t>cidadão</w:t>
      </w:r>
      <w:r w:rsidR="001F4FF5" w:rsidRPr="009020D5">
        <w:rPr>
          <w:rFonts w:ascii="Times New Roman" w:hAnsi="Times New Roman" w:cs="Times New Roman"/>
          <w:sz w:val="24"/>
          <w:szCs w:val="24"/>
        </w:rPr>
        <w:t xml:space="preserve">. Se </w:t>
      </w:r>
      <w:r w:rsidR="00BE50EC" w:rsidRPr="009020D5">
        <w:rPr>
          <w:rFonts w:ascii="Times New Roman" w:hAnsi="Times New Roman" w:cs="Times New Roman"/>
          <w:sz w:val="24"/>
          <w:szCs w:val="24"/>
        </w:rPr>
        <w:t>não houve</w:t>
      </w:r>
      <w:r w:rsidR="001F4FF5" w:rsidRPr="009020D5">
        <w:rPr>
          <w:rFonts w:ascii="Times New Roman" w:hAnsi="Times New Roman" w:cs="Times New Roman"/>
          <w:sz w:val="24"/>
          <w:szCs w:val="24"/>
        </w:rPr>
        <w:t>r mais interesse pel</w:t>
      </w:r>
      <w:r w:rsidR="00BE50EC" w:rsidRPr="009020D5">
        <w:rPr>
          <w:rFonts w:ascii="Times New Roman" w:hAnsi="Times New Roman" w:cs="Times New Roman"/>
          <w:sz w:val="24"/>
          <w:szCs w:val="24"/>
        </w:rPr>
        <w:t>a informaç</w:t>
      </w:r>
      <w:r w:rsidR="001F4FF5" w:rsidRPr="009020D5">
        <w:rPr>
          <w:rFonts w:ascii="Times New Roman" w:hAnsi="Times New Roman" w:cs="Times New Roman"/>
          <w:sz w:val="24"/>
          <w:szCs w:val="24"/>
        </w:rPr>
        <w:t xml:space="preserve">ão, </w:t>
      </w:r>
      <w:r w:rsidR="00BE50EC" w:rsidRPr="009020D5">
        <w:rPr>
          <w:rFonts w:ascii="Times New Roman" w:hAnsi="Times New Roman" w:cs="Times New Roman"/>
          <w:sz w:val="24"/>
          <w:szCs w:val="24"/>
        </w:rPr>
        <w:t xml:space="preserve">a demanda </w:t>
      </w:r>
      <w:r w:rsidR="00FF2F18" w:rsidRPr="009020D5">
        <w:rPr>
          <w:rFonts w:ascii="Times New Roman" w:hAnsi="Times New Roman" w:cs="Times New Roman"/>
          <w:sz w:val="24"/>
          <w:szCs w:val="24"/>
        </w:rPr>
        <w:t xml:space="preserve">é encerrada </w:t>
      </w:r>
      <w:r w:rsidR="00BE50EC" w:rsidRPr="009020D5">
        <w:rPr>
          <w:rFonts w:ascii="Times New Roman" w:hAnsi="Times New Roman" w:cs="Times New Roman"/>
          <w:sz w:val="24"/>
          <w:szCs w:val="24"/>
        </w:rPr>
        <w:t>no sistema</w:t>
      </w:r>
      <w:r w:rsidR="001F4FF5" w:rsidRPr="009020D5">
        <w:rPr>
          <w:rFonts w:ascii="Times New Roman" w:hAnsi="Times New Roman" w:cs="Times New Roman"/>
          <w:sz w:val="24"/>
          <w:szCs w:val="24"/>
        </w:rPr>
        <w:t xml:space="preserve">, com um pedido formal de desculpas ao </w:t>
      </w:r>
      <w:r w:rsidR="00F311B1" w:rsidRPr="009020D5">
        <w:rPr>
          <w:rFonts w:ascii="Times New Roman" w:hAnsi="Times New Roman" w:cs="Times New Roman"/>
          <w:sz w:val="24"/>
          <w:szCs w:val="24"/>
        </w:rPr>
        <w:t>cidadão</w:t>
      </w:r>
      <w:r w:rsidR="001F4FF5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C70122" w:rsidRPr="009020D5">
        <w:rPr>
          <w:rFonts w:ascii="Times New Roman" w:hAnsi="Times New Roman" w:cs="Times New Roman"/>
          <w:sz w:val="24"/>
          <w:szCs w:val="24"/>
        </w:rPr>
        <w:t>pela ausência de resposta</w:t>
      </w:r>
      <w:r w:rsidR="001F4FF5" w:rsidRPr="009020D5">
        <w:rPr>
          <w:rFonts w:ascii="Times New Roman" w:hAnsi="Times New Roman" w:cs="Times New Roman"/>
          <w:sz w:val="24"/>
          <w:szCs w:val="24"/>
        </w:rPr>
        <w:t>.</w:t>
      </w:r>
    </w:p>
    <w:p w:rsidR="000710C0" w:rsidRPr="009020D5" w:rsidRDefault="008E1BEE" w:rsidP="00F65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É importante registrar que, em 22 de fevereiro de 2019, </w:t>
      </w:r>
      <w:r w:rsidR="002D28BF" w:rsidRPr="009020D5">
        <w:rPr>
          <w:rFonts w:ascii="Times New Roman" w:hAnsi="Times New Roman" w:cs="Times New Roman"/>
          <w:sz w:val="24"/>
          <w:szCs w:val="24"/>
        </w:rPr>
        <w:t xml:space="preserve">após a implantação de tal fluxo, </w:t>
      </w:r>
      <w:r w:rsidRPr="009020D5">
        <w:rPr>
          <w:rFonts w:ascii="Times New Roman" w:hAnsi="Times New Roman" w:cs="Times New Roman"/>
          <w:sz w:val="24"/>
          <w:szCs w:val="24"/>
        </w:rPr>
        <w:t xml:space="preserve">a CGU enviou e-mail ao SIC e à Autoridade de Monitoramento da LAI na UFMG </w:t>
      </w:r>
      <w:r w:rsidR="001869B4" w:rsidRPr="009020D5">
        <w:rPr>
          <w:rFonts w:ascii="Times New Roman" w:hAnsi="Times New Roman" w:cs="Times New Roman"/>
          <w:sz w:val="24"/>
          <w:szCs w:val="24"/>
        </w:rPr>
        <w:t xml:space="preserve">alertando </w:t>
      </w:r>
      <w:r w:rsidR="000710C0" w:rsidRPr="009020D5">
        <w:rPr>
          <w:rFonts w:ascii="Times New Roman" w:hAnsi="Times New Roman" w:cs="Times New Roman"/>
          <w:sz w:val="24"/>
          <w:szCs w:val="24"/>
        </w:rPr>
        <w:t xml:space="preserve">que havia, naquela data, 84 pedidos de acesso em tramitação fora do prazo. </w:t>
      </w:r>
      <w:r w:rsidR="001E17BE" w:rsidRPr="009020D5">
        <w:rPr>
          <w:rFonts w:ascii="Times New Roman" w:hAnsi="Times New Roman" w:cs="Times New Roman"/>
          <w:sz w:val="24"/>
          <w:szCs w:val="24"/>
        </w:rPr>
        <w:t xml:space="preserve">O problema detectado pela equipe </w:t>
      </w:r>
      <w:r w:rsidR="00467A5D">
        <w:rPr>
          <w:rFonts w:ascii="Times New Roman" w:hAnsi="Times New Roman" w:cs="Times New Roman"/>
          <w:sz w:val="24"/>
          <w:szCs w:val="24"/>
        </w:rPr>
        <w:t xml:space="preserve">do SIC </w:t>
      </w:r>
      <w:r w:rsidR="001E17BE" w:rsidRPr="009020D5">
        <w:rPr>
          <w:rFonts w:ascii="Times New Roman" w:hAnsi="Times New Roman" w:cs="Times New Roman"/>
          <w:sz w:val="24"/>
          <w:szCs w:val="24"/>
        </w:rPr>
        <w:t xml:space="preserve">no final de 2018, portanto, foi também </w:t>
      </w:r>
      <w:r w:rsidR="002D28BF" w:rsidRPr="009020D5">
        <w:rPr>
          <w:rFonts w:ascii="Times New Roman" w:hAnsi="Times New Roman" w:cs="Times New Roman"/>
          <w:sz w:val="24"/>
          <w:szCs w:val="24"/>
        </w:rPr>
        <w:t>visto</w:t>
      </w:r>
      <w:r w:rsidR="001E17BE" w:rsidRPr="009020D5">
        <w:rPr>
          <w:rFonts w:ascii="Times New Roman" w:hAnsi="Times New Roman" w:cs="Times New Roman"/>
          <w:sz w:val="24"/>
          <w:szCs w:val="24"/>
        </w:rPr>
        <w:t xml:space="preserve"> pela CGU</w:t>
      </w:r>
      <w:r w:rsidR="002D28BF" w:rsidRPr="009020D5">
        <w:rPr>
          <w:rFonts w:ascii="Times New Roman" w:hAnsi="Times New Roman" w:cs="Times New Roman"/>
          <w:sz w:val="24"/>
          <w:szCs w:val="24"/>
        </w:rPr>
        <w:t xml:space="preserve"> como delicado</w:t>
      </w:r>
      <w:r w:rsidR="001E17BE" w:rsidRPr="009020D5">
        <w:rPr>
          <w:rFonts w:ascii="Times New Roman" w:hAnsi="Times New Roman" w:cs="Times New Roman"/>
          <w:sz w:val="24"/>
          <w:szCs w:val="24"/>
        </w:rPr>
        <w:t xml:space="preserve"> – </w:t>
      </w:r>
      <w:r w:rsidR="002D28BF" w:rsidRPr="009020D5">
        <w:rPr>
          <w:rFonts w:ascii="Times New Roman" w:hAnsi="Times New Roman" w:cs="Times New Roman"/>
          <w:sz w:val="24"/>
          <w:szCs w:val="24"/>
        </w:rPr>
        <w:t xml:space="preserve">mas, como </w:t>
      </w:r>
      <w:r w:rsidR="00F65F83" w:rsidRPr="009020D5">
        <w:rPr>
          <w:rFonts w:ascii="Times New Roman" w:hAnsi="Times New Roman" w:cs="Times New Roman"/>
          <w:sz w:val="24"/>
          <w:szCs w:val="24"/>
        </w:rPr>
        <w:t xml:space="preserve">o fluxo de trabalho já estava em funcionamento, </w:t>
      </w:r>
      <w:r w:rsidR="002D28BF" w:rsidRPr="009020D5">
        <w:rPr>
          <w:rFonts w:ascii="Times New Roman" w:hAnsi="Times New Roman" w:cs="Times New Roman"/>
          <w:sz w:val="24"/>
          <w:szCs w:val="24"/>
        </w:rPr>
        <w:t xml:space="preserve">tinham </w:t>
      </w:r>
      <w:r w:rsidR="00F65F83" w:rsidRPr="009020D5">
        <w:rPr>
          <w:rFonts w:ascii="Times New Roman" w:hAnsi="Times New Roman" w:cs="Times New Roman"/>
          <w:sz w:val="24"/>
          <w:szCs w:val="24"/>
        </w:rPr>
        <w:t>sido encerradas 13 demandas</w:t>
      </w:r>
      <w:r w:rsidR="00467A5D">
        <w:rPr>
          <w:rFonts w:ascii="Times New Roman" w:hAnsi="Times New Roman" w:cs="Times New Roman"/>
          <w:sz w:val="24"/>
          <w:szCs w:val="24"/>
        </w:rPr>
        <w:t xml:space="preserve"> quando a CGU enviou o e-mail</w:t>
      </w:r>
      <w:r w:rsidR="00F65F83" w:rsidRPr="009020D5">
        <w:rPr>
          <w:rFonts w:ascii="Times New Roman" w:hAnsi="Times New Roman" w:cs="Times New Roman"/>
          <w:sz w:val="24"/>
          <w:szCs w:val="24"/>
        </w:rPr>
        <w:t>.</w:t>
      </w:r>
    </w:p>
    <w:p w:rsidR="00CA575A" w:rsidRPr="009020D5" w:rsidRDefault="003B1082" w:rsidP="001F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De janeiro a março de 2019, </w:t>
      </w:r>
      <w:r w:rsidR="00A134AF" w:rsidRPr="009020D5">
        <w:rPr>
          <w:rFonts w:ascii="Times New Roman" w:hAnsi="Times New Roman" w:cs="Times New Roman"/>
          <w:sz w:val="24"/>
          <w:szCs w:val="24"/>
        </w:rPr>
        <w:t>foram encerrados</w:t>
      </w:r>
      <w:r w:rsidR="002C0E19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CA01BF" w:rsidRPr="009020D5">
        <w:rPr>
          <w:rFonts w:ascii="Times New Roman" w:hAnsi="Times New Roman" w:cs="Times New Roman"/>
          <w:sz w:val="24"/>
          <w:szCs w:val="24"/>
        </w:rPr>
        <w:t>27 dos 44</w:t>
      </w:r>
      <w:r w:rsidR="002C0E19" w:rsidRPr="009020D5">
        <w:rPr>
          <w:rFonts w:ascii="Times New Roman" w:hAnsi="Times New Roman" w:cs="Times New Roman"/>
          <w:sz w:val="24"/>
          <w:szCs w:val="24"/>
        </w:rPr>
        <w:t xml:space="preserve"> pedidos pendentes</w:t>
      </w:r>
      <w:r w:rsidR="00CA01BF" w:rsidRPr="009020D5">
        <w:rPr>
          <w:rFonts w:ascii="Times New Roman" w:hAnsi="Times New Roman" w:cs="Times New Roman"/>
          <w:sz w:val="24"/>
          <w:szCs w:val="24"/>
        </w:rPr>
        <w:t xml:space="preserve"> e cinco</w:t>
      </w:r>
      <w:r w:rsidR="001A37CE" w:rsidRPr="009020D5">
        <w:rPr>
          <w:rFonts w:ascii="Times New Roman" w:hAnsi="Times New Roman" w:cs="Times New Roman"/>
          <w:sz w:val="24"/>
          <w:szCs w:val="24"/>
        </w:rPr>
        <w:t xml:space="preserve"> dos 53 recursos. Ou seja, </w:t>
      </w:r>
      <w:r w:rsidR="00754744" w:rsidRPr="009020D5">
        <w:rPr>
          <w:rFonts w:ascii="Times New Roman" w:hAnsi="Times New Roman" w:cs="Times New Roman"/>
          <w:sz w:val="24"/>
          <w:szCs w:val="24"/>
        </w:rPr>
        <w:t xml:space="preserve">foram </w:t>
      </w:r>
      <w:proofErr w:type="gramStart"/>
      <w:r w:rsidR="00754744" w:rsidRPr="009020D5">
        <w:rPr>
          <w:rFonts w:ascii="Times New Roman" w:hAnsi="Times New Roman" w:cs="Times New Roman"/>
          <w:sz w:val="24"/>
          <w:szCs w:val="24"/>
        </w:rPr>
        <w:t>finalizados</w:t>
      </w:r>
      <w:proofErr w:type="gramEnd"/>
      <w:r w:rsidR="00754744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CA01BF" w:rsidRPr="009020D5">
        <w:rPr>
          <w:rFonts w:ascii="Times New Roman" w:hAnsi="Times New Roman" w:cs="Times New Roman"/>
          <w:b/>
          <w:sz w:val="24"/>
          <w:szCs w:val="24"/>
        </w:rPr>
        <w:t>32</w:t>
      </w:r>
      <w:r w:rsidR="00754744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A70B64">
        <w:rPr>
          <w:rFonts w:ascii="Times New Roman" w:hAnsi="Times New Roman" w:cs="Times New Roman"/>
          <w:sz w:val="24"/>
          <w:szCs w:val="24"/>
        </w:rPr>
        <w:t>demandas</w:t>
      </w:r>
      <w:r w:rsidR="00754744" w:rsidRPr="009020D5">
        <w:rPr>
          <w:rFonts w:ascii="Times New Roman" w:hAnsi="Times New Roman" w:cs="Times New Roman"/>
          <w:sz w:val="24"/>
          <w:szCs w:val="24"/>
        </w:rPr>
        <w:t xml:space="preserve"> desde o come</w:t>
      </w:r>
      <w:r w:rsidR="00D655CB" w:rsidRPr="009020D5">
        <w:rPr>
          <w:rFonts w:ascii="Times New Roman" w:hAnsi="Times New Roman" w:cs="Times New Roman"/>
          <w:sz w:val="24"/>
          <w:szCs w:val="24"/>
        </w:rPr>
        <w:t xml:space="preserve">ço de 2019, </w:t>
      </w:r>
      <w:r w:rsidR="008B2FB0" w:rsidRPr="009020D5">
        <w:rPr>
          <w:rFonts w:ascii="Times New Roman" w:hAnsi="Times New Roman" w:cs="Times New Roman"/>
          <w:sz w:val="24"/>
          <w:szCs w:val="24"/>
        </w:rPr>
        <w:t xml:space="preserve">cerca de </w:t>
      </w:r>
      <w:r w:rsidR="00D655CB" w:rsidRPr="009020D5">
        <w:rPr>
          <w:rFonts w:ascii="Times New Roman" w:hAnsi="Times New Roman" w:cs="Times New Roman"/>
          <w:sz w:val="24"/>
          <w:szCs w:val="24"/>
        </w:rPr>
        <w:t xml:space="preserve">1/3 </w:t>
      </w:r>
      <w:r w:rsidR="00D25A32" w:rsidRPr="009020D5">
        <w:rPr>
          <w:rFonts w:ascii="Times New Roman" w:hAnsi="Times New Roman" w:cs="Times New Roman"/>
          <w:sz w:val="24"/>
          <w:szCs w:val="24"/>
        </w:rPr>
        <w:t xml:space="preserve">do total </w:t>
      </w:r>
      <w:r w:rsidR="00A70B64">
        <w:rPr>
          <w:rFonts w:ascii="Times New Roman" w:hAnsi="Times New Roman" w:cs="Times New Roman"/>
          <w:sz w:val="24"/>
          <w:szCs w:val="24"/>
        </w:rPr>
        <w:t>não respondido</w:t>
      </w:r>
      <w:r w:rsidR="00CA68B1" w:rsidRPr="009020D5">
        <w:rPr>
          <w:rFonts w:ascii="Times New Roman" w:hAnsi="Times New Roman" w:cs="Times New Roman"/>
          <w:sz w:val="24"/>
          <w:szCs w:val="24"/>
        </w:rPr>
        <w:t xml:space="preserve"> entre 2012 e 2018</w:t>
      </w:r>
      <w:r w:rsidR="00D25A32" w:rsidRPr="009020D5">
        <w:rPr>
          <w:rFonts w:ascii="Times New Roman" w:hAnsi="Times New Roman" w:cs="Times New Roman"/>
          <w:sz w:val="24"/>
          <w:szCs w:val="24"/>
        </w:rPr>
        <w:t xml:space="preserve">. Mantido esse ritmo de trabalho, </w:t>
      </w:r>
      <w:r w:rsidR="00361646" w:rsidRPr="009020D5">
        <w:rPr>
          <w:rFonts w:ascii="Times New Roman" w:hAnsi="Times New Roman" w:cs="Times New Roman"/>
          <w:sz w:val="24"/>
          <w:szCs w:val="24"/>
        </w:rPr>
        <w:t xml:space="preserve">é possível projetar para </w:t>
      </w:r>
      <w:r w:rsidR="00D25A32" w:rsidRPr="009020D5">
        <w:rPr>
          <w:rFonts w:ascii="Times New Roman" w:hAnsi="Times New Roman" w:cs="Times New Roman"/>
          <w:sz w:val="24"/>
          <w:szCs w:val="24"/>
        </w:rPr>
        <w:t xml:space="preserve">o segundo semestre de 2019 </w:t>
      </w:r>
      <w:r w:rsidR="00361646" w:rsidRPr="009020D5">
        <w:rPr>
          <w:rFonts w:ascii="Times New Roman" w:hAnsi="Times New Roman" w:cs="Times New Roman"/>
          <w:sz w:val="24"/>
          <w:szCs w:val="24"/>
        </w:rPr>
        <w:t>o encerramento de</w:t>
      </w:r>
      <w:r w:rsidR="00DD5B01" w:rsidRPr="009020D5">
        <w:rPr>
          <w:rFonts w:ascii="Times New Roman" w:hAnsi="Times New Roman" w:cs="Times New Roman"/>
          <w:sz w:val="24"/>
          <w:szCs w:val="24"/>
        </w:rPr>
        <w:t xml:space="preserve"> todos os pedidos </w:t>
      </w:r>
      <w:r w:rsidR="00EB4C95" w:rsidRPr="009020D5">
        <w:rPr>
          <w:rFonts w:ascii="Times New Roman" w:hAnsi="Times New Roman" w:cs="Times New Roman"/>
          <w:sz w:val="24"/>
          <w:szCs w:val="24"/>
        </w:rPr>
        <w:t>e recursos não respondidos desde 2012</w:t>
      </w:r>
      <w:r w:rsidR="00DF59C3" w:rsidRPr="009020D5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EB4C95" w:rsidRPr="009020D5">
        <w:rPr>
          <w:rFonts w:ascii="Times New Roman" w:hAnsi="Times New Roman" w:cs="Times New Roman"/>
          <w:sz w:val="24"/>
          <w:szCs w:val="24"/>
        </w:rPr>
        <w:t>.</w:t>
      </w:r>
    </w:p>
    <w:p w:rsidR="00610353" w:rsidRPr="009020D5" w:rsidRDefault="00A134AF" w:rsidP="001F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Entretanto, há que se levar em conta que </w:t>
      </w:r>
      <w:r w:rsidR="006533F6" w:rsidRPr="009020D5">
        <w:rPr>
          <w:rFonts w:ascii="Times New Roman" w:hAnsi="Times New Roman" w:cs="Times New Roman"/>
          <w:sz w:val="24"/>
          <w:szCs w:val="24"/>
        </w:rPr>
        <w:t xml:space="preserve">todos os </w:t>
      </w:r>
      <w:r w:rsidR="00D76103" w:rsidRPr="009020D5">
        <w:rPr>
          <w:rFonts w:ascii="Times New Roman" w:hAnsi="Times New Roman" w:cs="Times New Roman"/>
          <w:sz w:val="24"/>
          <w:szCs w:val="24"/>
        </w:rPr>
        <w:t>97</w:t>
      </w:r>
      <w:r w:rsidR="006533F6" w:rsidRPr="009020D5">
        <w:rPr>
          <w:rFonts w:ascii="Times New Roman" w:hAnsi="Times New Roman" w:cs="Times New Roman"/>
          <w:sz w:val="24"/>
          <w:szCs w:val="24"/>
        </w:rPr>
        <w:t xml:space="preserve"> pedidos e recursos que estão em atraso foram adequadamente enviados aos </w:t>
      </w:r>
      <w:bookmarkStart w:id="4" w:name="OLE_LINK4"/>
      <w:r w:rsidR="006533F6" w:rsidRPr="009020D5">
        <w:rPr>
          <w:rFonts w:ascii="Times New Roman" w:hAnsi="Times New Roman" w:cs="Times New Roman"/>
          <w:sz w:val="24"/>
          <w:szCs w:val="24"/>
        </w:rPr>
        <w:t>setores</w:t>
      </w:r>
      <w:r w:rsidR="009C51F9">
        <w:rPr>
          <w:rFonts w:ascii="Times New Roman" w:hAnsi="Times New Roman" w:cs="Times New Roman"/>
          <w:sz w:val="24"/>
          <w:szCs w:val="24"/>
        </w:rPr>
        <w:t>, órgãos e unidades</w:t>
      </w:r>
      <w:r w:rsidR="006533F6" w:rsidRPr="009020D5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6533F6" w:rsidRPr="009020D5">
        <w:rPr>
          <w:rFonts w:ascii="Times New Roman" w:hAnsi="Times New Roman" w:cs="Times New Roman"/>
          <w:sz w:val="24"/>
          <w:szCs w:val="24"/>
        </w:rPr>
        <w:t>responsáveis na UFMG</w:t>
      </w:r>
      <w:r w:rsidR="00610353" w:rsidRPr="009020D5">
        <w:rPr>
          <w:rFonts w:ascii="Times New Roman" w:hAnsi="Times New Roman" w:cs="Times New Roman"/>
          <w:sz w:val="24"/>
          <w:szCs w:val="24"/>
        </w:rPr>
        <w:t>, com prazo estabelecido. E que estão registrados e-mails de cobrança em relação à resposta a tais demandas, sem que os responsáveis tenham fornecido a informação – ou uma justificativa de sua negativa.</w:t>
      </w:r>
    </w:p>
    <w:p w:rsidR="00A134AF" w:rsidRPr="009020D5" w:rsidRDefault="00610353" w:rsidP="00777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O trabalho de busca por resposta aos </w:t>
      </w:r>
      <w:r w:rsidR="00777A45" w:rsidRPr="009020D5">
        <w:rPr>
          <w:rFonts w:ascii="Times New Roman" w:hAnsi="Times New Roman" w:cs="Times New Roman"/>
          <w:sz w:val="24"/>
          <w:szCs w:val="24"/>
        </w:rPr>
        <w:t>pedidos</w:t>
      </w:r>
      <w:r w:rsidR="007D0351">
        <w:rPr>
          <w:rFonts w:ascii="Times New Roman" w:hAnsi="Times New Roman" w:cs="Times New Roman"/>
          <w:sz w:val="24"/>
          <w:szCs w:val="24"/>
        </w:rPr>
        <w:t xml:space="preserve"> e recursos em atraso</w:t>
      </w:r>
      <w:r w:rsidR="00615E64" w:rsidRPr="009020D5">
        <w:rPr>
          <w:rFonts w:ascii="Times New Roman" w:hAnsi="Times New Roman" w:cs="Times New Roman"/>
          <w:sz w:val="24"/>
          <w:szCs w:val="24"/>
        </w:rPr>
        <w:t xml:space="preserve"> depende</w:t>
      </w:r>
      <w:r w:rsidR="00777A45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CB6BA7">
        <w:rPr>
          <w:rFonts w:ascii="Times New Roman" w:hAnsi="Times New Roman" w:cs="Times New Roman"/>
          <w:sz w:val="24"/>
          <w:szCs w:val="24"/>
        </w:rPr>
        <w:t xml:space="preserve">também </w:t>
      </w:r>
      <w:r w:rsidR="00777A45" w:rsidRPr="009020D5">
        <w:rPr>
          <w:rFonts w:ascii="Times New Roman" w:hAnsi="Times New Roman" w:cs="Times New Roman"/>
          <w:sz w:val="24"/>
          <w:szCs w:val="24"/>
        </w:rPr>
        <w:t xml:space="preserve">do empenho dos </w:t>
      </w:r>
      <w:r w:rsidR="007D0351" w:rsidRPr="009020D5">
        <w:rPr>
          <w:rFonts w:ascii="Times New Roman" w:hAnsi="Times New Roman" w:cs="Times New Roman"/>
          <w:sz w:val="24"/>
          <w:szCs w:val="24"/>
        </w:rPr>
        <w:t>setores</w:t>
      </w:r>
      <w:r w:rsidR="007D0351">
        <w:rPr>
          <w:rFonts w:ascii="Times New Roman" w:hAnsi="Times New Roman" w:cs="Times New Roman"/>
          <w:sz w:val="24"/>
          <w:szCs w:val="24"/>
        </w:rPr>
        <w:t>, órgãos e unidades</w:t>
      </w:r>
      <w:r w:rsidR="007D0351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777A45" w:rsidRPr="009020D5">
        <w:rPr>
          <w:rFonts w:ascii="Times New Roman" w:hAnsi="Times New Roman" w:cs="Times New Roman"/>
          <w:sz w:val="24"/>
          <w:szCs w:val="24"/>
        </w:rPr>
        <w:t>envolvidos</w:t>
      </w:r>
      <w:r w:rsidR="00E41366" w:rsidRPr="009020D5">
        <w:rPr>
          <w:rFonts w:ascii="Times New Roman" w:hAnsi="Times New Roman" w:cs="Times New Roman"/>
          <w:sz w:val="24"/>
          <w:szCs w:val="24"/>
        </w:rPr>
        <w:t xml:space="preserve">. Assim como o aprimoramento constante dos </w:t>
      </w:r>
      <w:r w:rsidR="00777A45" w:rsidRPr="009020D5">
        <w:rPr>
          <w:rFonts w:ascii="Times New Roman" w:hAnsi="Times New Roman" w:cs="Times New Roman"/>
          <w:sz w:val="24"/>
          <w:szCs w:val="24"/>
        </w:rPr>
        <w:t xml:space="preserve">fluxos e mecanismos </w:t>
      </w:r>
      <w:r w:rsidR="00E41366" w:rsidRPr="009020D5">
        <w:rPr>
          <w:rFonts w:ascii="Times New Roman" w:hAnsi="Times New Roman" w:cs="Times New Roman"/>
          <w:sz w:val="24"/>
          <w:szCs w:val="24"/>
        </w:rPr>
        <w:t xml:space="preserve">da Ouvidoria e do SIC. </w:t>
      </w:r>
    </w:p>
    <w:p w:rsidR="002B3362" w:rsidRPr="009020D5" w:rsidRDefault="002B3362" w:rsidP="00777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49D" w:rsidRDefault="000A449D" w:rsidP="00777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236" w:rsidRPr="009020D5" w:rsidRDefault="005E1236" w:rsidP="00777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362" w:rsidRPr="009020D5" w:rsidRDefault="006C68C3" w:rsidP="00777A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D5">
        <w:rPr>
          <w:rFonts w:ascii="Times New Roman" w:hAnsi="Times New Roman" w:cs="Times New Roman"/>
          <w:b/>
          <w:sz w:val="24"/>
          <w:szCs w:val="24"/>
        </w:rPr>
        <w:lastRenderedPageBreak/>
        <w:t>Perspectivas</w:t>
      </w:r>
    </w:p>
    <w:p w:rsidR="006C68C3" w:rsidRPr="009020D5" w:rsidRDefault="00DE1081" w:rsidP="00DE1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ab/>
      </w:r>
    </w:p>
    <w:p w:rsidR="00DE1081" w:rsidRPr="009020D5" w:rsidRDefault="00DE1081" w:rsidP="00D90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O </w:t>
      </w:r>
      <w:r w:rsidR="00C17699" w:rsidRPr="009020D5">
        <w:rPr>
          <w:rFonts w:ascii="Times New Roman" w:hAnsi="Times New Roman" w:cs="Times New Roman"/>
          <w:sz w:val="24"/>
          <w:szCs w:val="24"/>
        </w:rPr>
        <w:t xml:space="preserve">constante </w:t>
      </w:r>
      <w:r w:rsidRPr="009020D5">
        <w:rPr>
          <w:rFonts w:ascii="Times New Roman" w:hAnsi="Times New Roman" w:cs="Times New Roman"/>
          <w:sz w:val="24"/>
          <w:szCs w:val="24"/>
        </w:rPr>
        <w:t xml:space="preserve">empenho da equipe da Ouvidoria e do SIC no aprimoramento de seus fluxos </w:t>
      </w:r>
      <w:r w:rsidR="00C17699" w:rsidRPr="009020D5">
        <w:rPr>
          <w:rFonts w:ascii="Times New Roman" w:hAnsi="Times New Roman" w:cs="Times New Roman"/>
          <w:sz w:val="24"/>
          <w:szCs w:val="24"/>
        </w:rPr>
        <w:t xml:space="preserve">e mecanismos </w:t>
      </w:r>
      <w:r w:rsidRPr="009020D5">
        <w:rPr>
          <w:rFonts w:ascii="Times New Roman" w:hAnsi="Times New Roman" w:cs="Times New Roman"/>
          <w:sz w:val="24"/>
          <w:szCs w:val="24"/>
        </w:rPr>
        <w:t>de trabalho</w:t>
      </w:r>
      <w:r w:rsidR="00C17699" w:rsidRPr="009020D5">
        <w:rPr>
          <w:rFonts w:ascii="Times New Roman" w:hAnsi="Times New Roman" w:cs="Times New Roman"/>
          <w:sz w:val="24"/>
          <w:szCs w:val="24"/>
        </w:rPr>
        <w:t xml:space="preserve">, como já foi dito, se dá em diálogo com outros setores, órgãos e unidades da UFMG. </w:t>
      </w:r>
      <w:r w:rsidR="000A449D" w:rsidRPr="009020D5">
        <w:rPr>
          <w:rFonts w:ascii="Times New Roman" w:hAnsi="Times New Roman" w:cs="Times New Roman"/>
          <w:sz w:val="24"/>
          <w:szCs w:val="24"/>
        </w:rPr>
        <w:t xml:space="preserve">É por meio do diálogo com docentes, discentes e técnicos administrativos em educação que a Ouvidoria pode responder mais prontamente e com mais qualidade às demandas recebidas. </w:t>
      </w:r>
      <w:r w:rsidR="00432ECE" w:rsidRPr="009020D5">
        <w:rPr>
          <w:rFonts w:ascii="Times New Roman" w:hAnsi="Times New Roman" w:cs="Times New Roman"/>
          <w:sz w:val="24"/>
          <w:szCs w:val="24"/>
        </w:rPr>
        <w:t xml:space="preserve">Da mesma maneira, a resposta </w:t>
      </w:r>
      <w:r w:rsidR="00D906C1" w:rsidRPr="009020D5">
        <w:rPr>
          <w:rFonts w:ascii="Times New Roman" w:hAnsi="Times New Roman" w:cs="Times New Roman"/>
          <w:sz w:val="24"/>
          <w:szCs w:val="24"/>
        </w:rPr>
        <w:t xml:space="preserve">ágil e completa a demandas do SIC depende </w:t>
      </w:r>
      <w:r w:rsidR="000A449D" w:rsidRPr="009020D5">
        <w:rPr>
          <w:rFonts w:ascii="Times New Roman" w:hAnsi="Times New Roman" w:cs="Times New Roman"/>
          <w:sz w:val="24"/>
          <w:szCs w:val="24"/>
        </w:rPr>
        <w:t xml:space="preserve">do diálogo com os responsáveis pelos </w:t>
      </w:r>
      <w:r w:rsidR="00C510C4" w:rsidRPr="009020D5">
        <w:rPr>
          <w:rFonts w:ascii="Times New Roman" w:hAnsi="Times New Roman" w:cs="Times New Roman"/>
          <w:sz w:val="24"/>
          <w:szCs w:val="24"/>
        </w:rPr>
        <w:t>setores</w:t>
      </w:r>
      <w:r w:rsidR="00C510C4">
        <w:rPr>
          <w:rFonts w:ascii="Times New Roman" w:hAnsi="Times New Roman" w:cs="Times New Roman"/>
          <w:sz w:val="24"/>
          <w:szCs w:val="24"/>
        </w:rPr>
        <w:t>, órgãos e unidades</w:t>
      </w:r>
      <w:r w:rsidR="00C510C4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0A449D" w:rsidRPr="009020D5">
        <w:rPr>
          <w:rFonts w:ascii="Times New Roman" w:hAnsi="Times New Roman" w:cs="Times New Roman"/>
          <w:sz w:val="24"/>
          <w:szCs w:val="24"/>
        </w:rPr>
        <w:t>e da conscientização a respeito das determinações da Lei de Acesso à Informação</w:t>
      </w:r>
      <w:r w:rsidR="00D906C1" w:rsidRPr="009020D5">
        <w:rPr>
          <w:rFonts w:ascii="Times New Roman" w:hAnsi="Times New Roman" w:cs="Times New Roman"/>
          <w:sz w:val="24"/>
          <w:szCs w:val="24"/>
        </w:rPr>
        <w:t>.</w:t>
      </w:r>
    </w:p>
    <w:p w:rsidR="00FD105C" w:rsidRPr="009020D5" w:rsidRDefault="007B3B05" w:rsidP="005E32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0D5">
        <w:rPr>
          <w:rFonts w:ascii="Times New Roman" w:hAnsi="Times New Roman" w:cs="Times New Roman"/>
          <w:sz w:val="24"/>
          <w:szCs w:val="24"/>
        </w:rPr>
        <w:t xml:space="preserve">É com base </w:t>
      </w:r>
      <w:r w:rsidR="005E32C8" w:rsidRPr="009020D5">
        <w:rPr>
          <w:rFonts w:ascii="Times New Roman" w:hAnsi="Times New Roman" w:cs="Times New Roman"/>
          <w:sz w:val="24"/>
          <w:szCs w:val="24"/>
        </w:rPr>
        <w:t xml:space="preserve">em tal percepção que </w:t>
      </w:r>
      <w:r w:rsidR="00B4035A">
        <w:rPr>
          <w:rFonts w:ascii="Times New Roman" w:hAnsi="Times New Roman" w:cs="Times New Roman"/>
          <w:sz w:val="24"/>
          <w:szCs w:val="24"/>
        </w:rPr>
        <w:t xml:space="preserve">a equipe propôs </w:t>
      </w:r>
      <w:r w:rsidR="00FD105C" w:rsidRPr="009020D5">
        <w:rPr>
          <w:rFonts w:ascii="Times New Roman" w:hAnsi="Times New Roman" w:cs="Times New Roman"/>
          <w:sz w:val="24"/>
          <w:szCs w:val="24"/>
        </w:rPr>
        <w:t>ações priorit</w:t>
      </w:r>
      <w:r w:rsidR="00AC01F1" w:rsidRPr="009020D5">
        <w:rPr>
          <w:rFonts w:ascii="Times New Roman" w:hAnsi="Times New Roman" w:cs="Times New Roman"/>
          <w:sz w:val="24"/>
          <w:szCs w:val="24"/>
        </w:rPr>
        <w:t xml:space="preserve">árias </w:t>
      </w:r>
      <w:r w:rsidR="00B4035A">
        <w:rPr>
          <w:rFonts w:ascii="Times New Roman" w:hAnsi="Times New Roman" w:cs="Times New Roman"/>
          <w:sz w:val="24"/>
          <w:szCs w:val="24"/>
        </w:rPr>
        <w:t>para a</w:t>
      </w:r>
      <w:r w:rsidR="00C1438B" w:rsidRPr="009020D5">
        <w:rPr>
          <w:rFonts w:ascii="Times New Roman" w:hAnsi="Times New Roman" w:cs="Times New Roman"/>
          <w:sz w:val="24"/>
          <w:szCs w:val="24"/>
        </w:rPr>
        <w:t xml:space="preserve"> </w:t>
      </w:r>
      <w:r w:rsidR="005E32C8" w:rsidRPr="009020D5">
        <w:rPr>
          <w:rFonts w:ascii="Times New Roman" w:hAnsi="Times New Roman" w:cs="Times New Roman"/>
          <w:sz w:val="24"/>
          <w:szCs w:val="24"/>
        </w:rPr>
        <w:t xml:space="preserve">Diretoria de Governança Informacional, composta pelo SIC e pela Ouvidoria, </w:t>
      </w:r>
      <w:r w:rsidR="00AC01F1" w:rsidRPr="009020D5">
        <w:rPr>
          <w:rFonts w:ascii="Times New Roman" w:hAnsi="Times New Roman" w:cs="Times New Roman"/>
          <w:sz w:val="24"/>
          <w:szCs w:val="24"/>
        </w:rPr>
        <w:t>para 2019</w:t>
      </w:r>
      <w:r w:rsidR="005E32C8" w:rsidRPr="009020D5">
        <w:rPr>
          <w:rFonts w:ascii="Times New Roman" w:hAnsi="Times New Roman" w:cs="Times New Roman"/>
          <w:sz w:val="24"/>
          <w:szCs w:val="24"/>
        </w:rPr>
        <w:t>.</w:t>
      </w:r>
      <w:r w:rsidR="005D34BE" w:rsidRPr="009020D5">
        <w:rPr>
          <w:rFonts w:ascii="Times New Roman" w:hAnsi="Times New Roman" w:cs="Times New Roman"/>
          <w:sz w:val="24"/>
          <w:szCs w:val="24"/>
        </w:rPr>
        <w:t xml:space="preserve"> Tais ações, listadas abaixo, </w:t>
      </w:r>
      <w:r w:rsidR="00894C06" w:rsidRPr="009020D5">
        <w:rPr>
          <w:rFonts w:ascii="Times New Roman" w:hAnsi="Times New Roman" w:cs="Times New Roman"/>
          <w:sz w:val="24"/>
          <w:szCs w:val="24"/>
        </w:rPr>
        <w:t xml:space="preserve">são parte de um processo que </w:t>
      </w:r>
      <w:r w:rsidR="00BE155C" w:rsidRPr="009020D5">
        <w:rPr>
          <w:rFonts w:ascii="Times New Roman" w:hAnsi="Times New Roman" w:cs="Times New Roman"/>
          <w:sz w:val="24"/>
          <w:szCs w:val="24"/>
        </w:rPr>
        <w:t>começou antes de janeiro e deve seguir depois de dezembro do corrente ano.</w:t>
      </w:r>
    </w:p>
    <w:p w:rsidR="00FD105C" w:rsidRPr="009020D5" w:rsidRDefault="00FD105C" w:rsidP="009C64F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eastAsiaTheme="minorHAnsi"/>
          <w:szCs w:val="24"/>
        </w:rPr>
      </w:pPr>
      <w:r w:rsidRPr="009020D5">
        <w:rPr>
          <w:rFonts w:eastAsiaTheme="minorHAnsi"/>
          <w:szCs w:val="24"/>
        </w:rPr>
        <w:t>Divulgar para a comunidade interna o trabalho da Ouvidoria contribuindo para a ampliação de suas ações no âmbito da universidade;</w:t>
      </w:r>
    </w:p>
    <w:p w:rsidR="00FD105C" w:rsidRPr="009020D5" w:rsidRDefault="00FD105C" w:rsidP="009C64F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eastAsiaTheme="minorHAnsi"/>
          <w:szCs w:val="24"/>
        </w:rPr>
      </w:pPr>
      <w:r w:rsidRPr="009020D5">
        <w:rPr>
          <w:rFonts w:eastAsiaTheme="minorHAnsi"/>
          <w:szCs w:val="24"/>
        </w:rPr>
        <w:t xml:space="preserve">Estabelecer diálogo permanente com unidades e </w:t>
      </w:r>
      <w:proofErr w:type="spellStart"/>
      <w:r w:rsidRPr="009020D5">
        <w:rPr>
          <w:rFonts w:eastAsiaTheme="minorHAnsi"/>
          <w:szCs w:val="24"/>
        </w:rPr>
        <w:t>pró-reitorias</w:t>
      </w:r>
      <w:proofErr w:type="spellEnd"/>
      <w:r w:rsidRPr="009020D5">
        <w:rPr>
          <w:rFonts w:eastAsiaTheme="minorHAnsi"/>
          <w:szCs w:val="24"/>
        </w:rPr>
        <w:t xml:space="preserve"> no sentido de aprimorar os fluxos da Ouvidoria e do Serviço de Informação ao Cidadão;</w:t>
      </w:r>
    </w:p>
    <w:p w:rsidR="00FD105C" w:rsidRPr="009020D5" w:rsidRDefault="009C64FA" w:rsidP="009C64F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eastAsiaTheme="minorHAnsi"/>
          <w:szCs w:val="24"/>
        </w:rPr>
      </w:pPr>
      <w:r w:rsidRPr="009020D5">
        <w:rPr>
          <w:szCs w:val="24"/>
        </w:rPr>
        <w:t>Fortalecer o diálogo</w:t>
      </w:r>
      <w:r w:rsidR="00FD105C" w:rsidRPr="009020D5">
        <w:rPr>
          <w:rFonts w:eastAsiaTheme="minorHAnsi"/>
          <w:szCs w:val="24"/>
        </w:rPr>
        <w:t xml:space="preserve"> junto à comunidade interna sobre a relevância do Serviço de Informação ao Cidadão;</w:t>
      </w:r>
    </w:p>
    <w:p w:rsidR="00FD105C" w:rsidRPr="009020D5" w:rsidRDefault="00FD105C" w:rsidP="009C64F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eastAsiaTheme="minorHAnsi"/>
          <w:szCs w:val="24"/>
        </w:rPr>
      </w:pPr>
      <w:r w:rsidRPr="009020D5">
        <w:rPr>
          <w:rFonts w:eastAsiaTheme="minorHAnsi"/>
          <w:szCs w:val="24"/>
        </w:rPr>
        <w:t>Debater junto aos setores interessados, elaborar e implementar uma Política de Segurança da Informação, abarcando a Classificação de Informações Sigilosas;</w:t>
      </w:r>
    </w:p>
    <w:p w:rsidR="00FD105C" w:rsidRPr="009020D5" w:rsidRDefault="00FD105C" w:rsidP="009C64F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eastAsiaTheme="minorHAnsi"/>
          <w:szCs w:val="24"/>
        </w:rPr>
      </w:pPr>
      <w:r w:rsidRPr="009020D5">
        <w:rPr>
          <w:rFonts w:eastAsiaTheme="minorHAnsi"/>
          <w:szCs w:val="24"/>
        </w:rPr>
        <w:t>Implementar o Plano de Dados Abertos e manter, junto aos setores envolvidos, um processo constante de avaliação e aprimoramento.</w:t>
      </w:r>
    </w:p>
    <w:p w:rsidR="00FD105C" w:rsidRPr="009020D5" w:rsidRDefault="00FD105C" w:rsidP="00777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8BE" w:rsidRPr="009020D5" w:rsidRDefault="001418BE" w:rsidP="006E7A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8BE" w:rsidRPr="00902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7AE" w:rsidRDefault="00EF37AE" w:rsidP="001B6816">
      <w:pPr>
        <w:spacing w:after="0" w:line="240" w:lineRule="auto"/>
      </w:pPr>
      <w:r>
        <w:separator/>
      </w:r>
    </w:p>
  </w:endnote>
  <w:endnote w:type="continuationSeparator" w:id="0">
    <w:p w:rsidR="00EF37AE" w:rsidRDefault="00EF37AE" w:rsidP="001B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7AE" w:rsidRDefault="00EF37AE" w:rsidP="001B6816">
      <w:pPr>
        <w:spacing w:after="0" w:line="240" w:lineRule="auto"/>
      </w:pPr>
      <w:r>
        <w:separator/>
      </w:r>
    </w:p>
  </w:footnote>
  <w:footnote w:type="continuationSeparator" w:id="0">
    <w:p w:rsidR="00EF37AE" w:rsidRDefault="00EF37AE" w:rsidP="001B6816">
      <w:pPr>
        <w:spacing w:after="0" w:line="240" w:lineRule="auto"/>
      </w:pPr>
      <w:r>
        <w:continuationSeparator/>
      </w:r>
    </w:p>
  </w:footnote>
  <w:footnote w:id="1">
    <w:p w:rsidR="00664F01" w:rsidRPr="009020D5" w:rsidRDefault="00664F01">
      <w:pPr>
        <w:pStyle w:val="Textodenotaderodap"/>
        <w:rPr>
          <w:rFonts w:ascii="Times New Roman" w:hAnsi="Times New Roman" w:cs="Times New Roman"/>
        </w:rPr>
      </w:pPr>
      <w:r w:rsidRPr="009020D5">
        <w:rPr>
          <w:rStyle w:val="Refdenotaderodap"/>
          <w:rFonts w:ascii="Times New Roman" w:hAnsi="Times New Roman" w:cs="Times New Roman"/>
        </w:rPr>
        <w:footnoteRef/>
      </w:r>
      <w:r w:rsidRPr="009020D5">
        <w:rPr>
          <w:rFonts w:ascii="Times New Roman" w:hAnsi="Times New Roman" w:cs="Times New Roman"/>
        </w:rPr>
        <w:t xml:space="preserve"> </w:t>
      </w:r>
      <w:r w:rsidR="009020D5">
        <w:rPr>
          <w:rFonts w:ascii="Times New Roman" w:hAnsi="Times New Roman" w:cs="Times New Roman"/>
        </w:rPr>
        <w:t>O</w:t>
      </w:r>
      <w:r w:rsidRPr="009020D5">
        <w:rPr>
          <w:rFonts w:ascii="Times New Roman" w:hAnsi="Times New Roman" w:cs="Times New Roman"/>
        </w:rPr>
        <w:t xml:space="preserve"> sistema e-</w:t>
      </w:r>
      <w:proofErr w:type="spellStart"/>
      <w:r w:rsidRPr="009020D5">
        <w:rPr>
          <w:rFonts w:ascii="Times New Roman" w:hAnsi="Times New Roman" w:cs="Times New Roman"/>
        </w:rPr>
        <w:t>Ouv</w:t>
      </w:r>
      <w:proofErr w:type="spellEnd"/>
      <w:r w:rsidRPr="009020D5">
        <w:rPr>
          <w:rFonts w:ascii="Times New Roman" w:hAnsi="Times New Roman" w:cs="Times New Roman"/>
        </w:rPr>
        <w:t>, do Governo Federal, que é fonte de tais dados, foi adotado pela UFMG em 13 de julho de 2017. Até então, as manifestações eram tratadas em um sistema da própria universidade.</w:t>
      </w:r>
    </w:p>
  </w:footnote>
  <w:footnote w:id="2">
    <w:p w:rsidR="00664F01" w:rsidRPr="00864FAE" w:rsidRDefault="00664F01">
      <w:pPr>
        <w:pStyle w:val="Textodenotaderodap"/>
      </w:pPr>
      <w:r w:rsidRPr="009020D5">
        <w:rPr>
          <w:rStyle w:val="Refdenotaderodap"/>
          <w:rFonts w:ascii="Times New Roman" w:hAnsi="Times New Roman" w:cs="Times New Roman"/>
        </w:rPr>
        <w:footnoteRef/>
      </w:r>
      <w:r w:rsidRPr="009020D5">
        <w:rPr>
          <w:rFonts w:ascii="Times New Roman" w:hAnsi="Times New Roman" w:cs="Times New Roman"/>
        </w:rPr>
        <w:t xml:space="preserve"> Dados obtidos no Painel Resolveu: </w:t>
      </w:r>
      <w:proofErr w:type="spellStart"/>
      <w:r w:rsidRPr="009020D5">
        <w:rPr>
          <w:rFonts w:ascii="Times New Roman" w:hAnsi="Times New Roman" w:cs="Times New Roman"/>
        </w:rPr>
        <w:t>http</w:t>
      </w:r>
      <w:proofErr w:type="spellEnd"/>
      <w:r w:rsidRPr="009020D5">
        <w:rPr>
          <w:rFonts w:ascii="Times New Roman" w:hAnsi="Times New Roman" w:cs="Times New Roman"/>
        </w:rPr>
        <w:t>://</w:t>
      </w:r>
      <w:proofErr w:type="spellStart"/>
      <w:r w:rsidRPr="009020D5">
        <w:rPr>
          <w:rFonts w:ascii="Times New Roman" w:hAnsi="Times New Roman" w:cs="Times New Roman"/>
        </w:rPr>
        <w:t>paineis.cgu.gov.br</w:t>
      </w:r>
      <w:proofErr w:type="spellEnd"/>
      <w:r w:rsidRPr="009020D5">
        <w:rPr>
          <w:rFonts w:ascii="Times New Roman" w:hAnsi="Times New Roman" w:cs="Times New Roman"/>
        </w:rPr>
        <w:t>/resolveu/</w:t>
      </w:r>
      <w:proofErr w:type="spellStart"/>
      <w:r w:rsidRPr="009020D5">
        <w:rPr>
          <w:rFonts w:ascii="Times New Roman" w:hAnsi="Times New Roman" w:cs="Times New Roman"/>
        </w:rPr>
        <w:t>index.htm</w:t>
      </w:r>
      <w:proofErr w:type="spellEnd"/>
    </w:p>
  </w:footnote>
  <w:footnote w:id="3">
    <w:p w:rsidR="00664F01" w:rsidRPr="009020D5" w:rsidRDefault="00664F01">
      <w:pPr>
        <w:pStyle w:val="Textodenotaderodap"/>
        <w:rPr>
          <w:rFonts w:ascii="Times New Roman" w:hAnsi="Times New Roman" w:cs="Times New Roman"/>
        </w:rPr>
      </w:pPr>
      <w:r w:rsidRPr="009020D5">
        <w:rPr>
          <w:rStyle w:val="Refdenotaderodap"/>
          <w:rFonts w:ascii="Times New Roman" w:hAnsi="Times New Roman" w:cs="Times New Roman"/>
        </w:rPr>
        <w:footnoteRef/>
      </w:r>
      <w:r w:rsidRPr="009020D5">
        <w:rPr>
          <w:rFonts w:ascii="Times New Roman" w:hAnsi="Times New Roman" w:cs="Times New Roman"/>
        </w:rPr>
        <w:t xml:space="preserve"> Soma dos se disseram </w:t>
      </w:r>
      <w:r w:rsidRPr="009020D5">
        <w:rPr>
          <w:rFonts w:ascii="Times New Roman" w:hAnsi="Times New Roman" w:cs="Times New Roman"/>
          <w:i/>
        </w:rPr>
        <w:t>muitos satisfeitos</w:t>
      </w:r>
      <w:r w:rsidRPr="009020D5">
        <w:rPr>
          <w:rFonts w:ascii="Times New Roman" w:hAnsi="Times New Roman" w:cs="Times New Roman"/>
        </w:rPr>
        <w:t xml:space="preserve">, </w:t>
      </w:r>
      <w:r w:rsidRPr="009020D5">
        <w:rPr>
          <w:rFonts w:ascii="Times New Roman" w:hAnsi="Times New Roman" w:cs="Times New Roman"/>
          <w:i/>
        </w:rPr>
        <w:t>satisfeitos</w:t>
      </w:r>
      <w:r w:rsidRPr="009020D5">
        <w:rPr>
          <w:rFonts w:ascii="Times New Roman" w:hAnsi="Times New Roman" w:cs="Times New Roman"/>
        </w:rPr>
        <w:t xml:space="preserve"> e os que consideraram </w:t>
      </w:r>
      <w:r w:rsidRPr="009020D5">
        <w:rPr>
          <w:rFonts w:ascii="Times New Roman" w:hAnsi="Times New Roman" w:cs="Times New Roman"/>
          <w:i/>
        </w:rPr>
        <w:t>regular</w:t>
      </w:r>
      <w:r w:rsidRPr="009020D5">
        <w:rPr>
          <w:rFonts w:ascii="Times New Roman" w:hAnsi="Times New Roman" w:cs="Times New Roman"/>
        </w:rPr>
        <w:t xml:space="preserve"> a resolução das manifestações enviadas.</w:t>
      </w:r>
    </w:p>
  </w:footnote>
  <w:footnote w:id="4">
    <w:p w:rsidR="00664F01" w:rsidRPr="00AF20D6" w:rsidRDefault="00664F01" w:rsidP="00AF3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0D6">
        <w:rPr>
          <w:rStyle w:val="Refdenotaderodap"/>
          <w:rFonts w:ascii="Times New Roman" w:hAnsi="Times New Roman" w:cs="Times New Roman"/>
        </w:rPr>
        <w:footnoteRef/>
      </w:r>
      <w:r w:rsidRPr="00AF20D6">
        <w:rPr>
          <w:rFonts w:ascii="Times New Roman" w:hAnsi="Times New Roman" w:cs="Times New Roman"/>
        </w:rPr>
        <w:t xml:space="preserve"> Por meio do Painel Resolveu, foram coletados dados, além da UFMG, de </w:t>
      </w:r>
      <w:r w:rsidRPr="00AF20D6">
        <w:rPr>
          <w:rFonts w:ascii="Times New Roman" w:hAnsi="Times New Roman" w:cs="Times New Roman"/>
          <w:sz w:val="20"/>
          <w:szCs w:val="20"/>
        </w:rPr>
        <w:t xml:space="preserve">UFABC, UFAC, UFAL, UFAM, UFBA, UFC, UFCA, UFCG, UFCSPA, UFERSA-RN, UFES, UFESBA, UFF, UFFS, UFG, UFGD, UFJF, UFLA, UFMA, UFMS, UFMT, UFOB, UFOP, UFOPA, UFPA, UFPB, UFPE, </w:t>
      </w:r>
      <w:proofErr w:type="spellStart"/>
      <w:r w:rsidRPr="00AF20D6">
        <w:rPr>
          <w:rFonts w:ascii="Times New Roman" w:hAnsi="Times New Roman" w:cs="Times New Roman"/>
          <w:sz w:val="20"/>
          <w:szCs w:val="20"/>
        </w:rPr>
        <w:t>UFPel</w:t>
      </w:r>
      <w:proofErr w:type="spellEnd"/>
      <w:r w:rsidRPr="00AF20D6">
        <w:rPr>
          <w:rFonts w:ascii="Times New Roman" w:hAnsi="Times New Roman" w:cs="Times New Roman"/>
          <w:sz w:val="20"/>
          <w:szCs w:val="20"/>
        </w:rPr>
        <w:t xml:space="preserve">, UFPI, UFPR, UFRA, UFRB, UFRGS, UFRJ, UFRN, UFRPE, UFRR, UFRRJ, UFS, UFSC, UFSCar, UFSM, UFT, UFTM, UFU, UFV, UFVJM, UNB, UNIFAL-MG, UNIFAP, UNIFEI, UNIFESP, UNIFESSPA, UNILA, UNILAB, UNIPAMPA, UNIR, UNIRIO, UNIVASF, UTFPR. </w:t>
      </w:r>
    </w:p>
    <w:p w:rsidR="00664F01" w:rsidRDefault="00664F01">
      <w:pPr>
        <w:pStyle w:val="Textodenotaderodap"/>
      </w:pPr>
    </w:p>
  </w:footnote>
  <w:footnote w:id="5">
    <w:p w:rsidR="00664F01" w:rsidRPr="002D0524" w:rsidRDefault="00664F01" w:rsidP="002D0524">
      <w:pPr>
        <w:pStyle w:val="Textodenotaderodap"/>
        <w:rPr>
          <w:rFonts w:ascii="Times New Roman" w:hAnsi="Times New Roman" w:cs="Times New Roman"/>
        </w:rPr>
      </w:pPr>
      <w:r w:rsidRPr="002D0524">
        <w:rPr>
          <w:rStyle w:val="Refdenotaderodap"/>
          <w:rFonts w:ascii="Times New Roman" w:hAnsi="Times New Roman" w:cs="Times New Roman"/>
        </w:rPr>
        <w:footnoteRef/>
      </w:r>
      <w:r w:rsidRPr="002D0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fluxo das Ouvidorias</w:t>
      </w:r>
      <w:r w:rsidRPr="002D0524">
        <w:rPr>
          <w:rFonts w:ascii="Times New Roman" w:hAnsi="Times New Roman" w:cs="Times New Roman"/>
        </w:rPr>
        <w:t xml:space="preserve"> não prevê a apresentação de recursos. Caso o cidadão não se sinta contemplado pela resposta, deve abrir uma nova manifestação. </w:t>
      </w:r>
    </w:p>
  </w:footnote>
  <w:footnote w:id="6">
    <w:p w:rsidR="00DF59C3" w:rsidRPr="00DF59C3" w:rsidRDefault="00DF59C3">
      <w:pPr>
        <w:pStyle w:val="Textodenotaderodap"/>
        <w:rPr>
          <w:rFonts w:ascii="Times New Roman" w:hAnsi="Times New Roman" w:cs="Times New Roman"/>
        </w:rPr>
      </w:pPr>
      <w:r w:rsidRPr="00DF59C3">
        <w:rPr>
          <w:rStyle w:val="Refdenotaderodap"/>
          <w:rFonts w:ascii="Times New Roman" w:hAnsi="Times New Roman" w:cs="Times New Roman"/>
        </w:rPr>
        <w:footnoteRef/>
      </w:r>
      <w:r w:rsidRPr="00DF59C3">
        <w:rPr>
          <w:rFonts w:ascii="Times New Roman" w:hAnsi="Times New Roman" w:cs="Times New Roman"/>
        </w:rPr>
        <w:t xml:space="preserve"> Os recursos </w:t>
      </w:r>
      <w:r w:rsidR="005A5CB6">
        <w:rPr>
          <w:rFonts w:ascii="Times New Roman" w:hAnsi="Times New Roman" w:cs="Times New Roman"/>
        </w:rPr>
        <w:t xml:space="preserve">pendentes </w:t>
      </w:r>
      <w:r w:rsidRPr="00DF59C3">
        <w:rPr>
          <w:rFonts w:ascii="Times New Roman" w:hAnsi="Times New Roman" w:cs="Times New Roman"/>
        </w:rPr>
        <w:t xml:space="preserve">são de solução mais difícil do que os pedidos, tendo em vista que demandam uma análise cuidadosa sobre o que já foi entregue ao cidadão e o que ainda precisa ser fornecido. Além disso, o próprio fato de </w:t>
      </w:r>
      <w:r w:rsidR="005A5CB6">
        <w:rPr>
          <w:rFonts w:ascii="Times New Roman" w:hAnsi="Times New Roman" w:cs="Times New Roman"/>
        </w:rPr>
        <w:t>a demanda</w:t>
      </w:r>
      <w:r w:rsidRPr="00DF59C3">
        <w:rPr>
          <w:rFonts w:ascii="Times New Roman" w:hAnsi="Times New Roman" w:cs="Times New Roman"/>
        </w:rPr>
        <w:t xml:space="preserve"> estar em fase recursal indica uma maior dificuldade em fornecer o dado por parte da UFMG.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084"/>
    <w:multiLevelType w:val="hybridMultilevel"/>
    <w:tmpl w:val="33BAB3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3" w15:restartNumberingAfterBreak="0">
    <w:nsid w:val="468A70C1"/>
    <w:multiLevelType w:val="multilevel"/>
    <w:tmpl w:val="F58CA34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9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616475B5"/>
    <w:multiLevelType w:val="hybridMultilevel"/>
    <w:tmpl w:val="D62E1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0E"/>
    <w:rsid w:val="00010920"/>
    <w:rsid w:val="00012332"/>
    <w:rsid w:val="000273B1"/>
    <w:rsid w:val="00043E33"/>
    <w:rsid w:val="0005104B"/>
    <w:rsid w:val="000523D4"/>
    <w:rsid w:val="00056B32"/>
    <w:rsid w:val="0006264F"/>
    <w:rsid w:val="00064521"/>
    <w:rsid w:val="000710C0"/>
    <w:rsid w:val="00072930"/>
    <w:rsid w:val="00097E43"/>
    <w:rsid w:val="000A3693"/>
    <w:rsid w:val="000A449D"/>
    <w:rsid w:val="000E2286"/>
    <w:rsid w:val="000E30D9"/>
    <w:rsid w:val="000F7F9B"/>
    <w:rsid w:val="00102AD0"/>
    <w:rsid w:val="001130DF"/>
    <w:rsid w:val="00113463"/>
    <w:rsid w:val="0011444E"/>
    <w:rsid w:val="0012132B"/>
    <w:rsid w:val="00124957"/>
    <w:rsid w:val="00134983"/>
    <w:rsid w:val="001418BE"/>
    <w:rsid w:val="00145ACD"/>
    <w:rsid w:val="0015757A"/>
    <w:rsid w:val="00162070"/>
    <w:rsid w:val="00162792"/>
    <w:rsid w:val="00165813"/>
    <w:rsid w:val="001725AD"/>
    <w:rsid w:val="00176E33"/>
    <w:rsid w:val="00181583"/>
    <w:rsid w:val="00181FEA"/>
    <w:rsid w:val="00185061"/>
    <w:rsid w:val="001869B4"/>
    <w:rsid w:val="001904AB"/>
    <w:rsid w:val="001A37CE"/>
    <w:rsid w:val="001A3FCC"/>
    <w:rsid w:val="001A47D7"/>
    <w:rsid w:val="001B019D"/>
    <w:rsid w:val="001B1B0B"/>
    <w:rsid w:val="001B6816"/>
    <w:rsid w:val="001D5C67"/>
    <w:rsid w:val="001E17BE"/>
    <w:rsid w:val="001E2EB5"/>
    <w:rsid w:val="001E5ABB"/>
    <w:rsid w:val="001E5BCB"/>
    <w:rsid w:val="001E796A"/>
    <w:rsid w:val="001F3A07"/>
    <w:rsid w:val="001F4FF5"/>
    <w:rsid w:val="002145C0"/>
    <w:rsid w:val="00222A65"/>
    <w:rsid w:val="0022686A"/>
    <w:rsid w:val="00247A33"/>
    <w:rsid w:val="00250D25"/>
    <w:rsid w:val="00252103"/>
    <w:rsid w:val="00254AE1"/>
    <w:rsid w:val="00255640"/>
    <w:rsid w:val="002558B3"/>
    <w:rsid w:val="0027589F"/>
    <w:rsid w:val="00276FF7"/>
    <w:rsid w:val="0028505C"/>
    <w:rsid w:val="00285B9B"/>
    <w:rsid w:val="002879A9"/>
    <w:rsid w:val="00295CD6"/>
    <w:rsid w:val="002A2F11"/>
    <w:rsid w:val="002B3362"/>
    <w:rsid w:val="002B3B6F"/>
    <w:rsid w:val="002B4126"/>
    <w:rsid w:val="002B7BC8"/>
    <w:rsid w:val="002C0E19"/>
    <w:rsid w:val="002C1F1C"/>
    <w:rsid w:val="002C266B"/>
    <w:rsid w:val="002D0524"/>
    <w:rsid w:val="002D1DE5"/>
    <w:rsid w:val="002D28BF"/>
    <w:rsid w:val="002E1841"/>
    <w:rsid w:val="00311E45"/>
    <w:rsid w:val="00312619"/>
    <w:rsid w:val="0032128C"/>
    <w:rsid w:val="00341759"/>
    <w:rsid w:val="003430B1"/>
    <w:rsid w:val="0036038A"/>
    <w:rsid w:val="00361646"/>
    <w:rsid w:val="00370017"/>
    <w:rsid w:val="00373D46"/>
    <w:rsid w:val="00375171"/>
    <w:rsid w:val="0038735A"/>
    <w:rsid w:val="0039042E"/>
    <w:rsid w:val="003945B8"/>
    <w:rsid w:val="003B1082"/>
    <w:rsid w:val="003B507F"/>
    <w:rsid w:val="003B5EB2"/>
    <w:rsid w:val="003C65BD"/>
    <w:rsid w:val="003D7CA6"/>
    <w:rsid w:val="003E54EA"/>
    <w:rsid w:val="003F1AD3"/>
    <w:rsid w:val="003F1E31"/>
    <w:rsid w:val="003F23D6"/>
    <w:rsid w:val="003F444B"/>
    <w:rsid w:val="003F51FE"/>
    <w:rsid w:val="00411CE0"/>
    <w:rsid w:val="004132BF"/>
    <w:rsid w:val="00413E5A"/>
    <w:rsid w:val="00417E52"/>
    <w:rsid w:val="00421D93"/>
    <w:rsid w:val="0042392F"/>
    <w:rsid w:val="00430F5F"/>
    <w:rsid w:val="00432ECE"/>
    <w:rsid w:val="00444CDA"/>
    <w:rsid w:val="00446514"/>
    <w:rsid w:val="00455B8C"/>
    <w:rsid w:val="00461DFF"/>
    <w:rsid w:val="00463611"/>
    <w:rsid w:val="00464B20"/>
    <w:rsid w:val="00467A5D"/>
    <w:rsid w:val="004817D0"/>
    <w:rsid w:val="00482F82"/>
    <w:rsid w:val="0048623F"/>
    <w:rsid w:val="00487559"/>
    <w:rsid w:val="004B0681"/>
    <w:rsid w:val="004D28FD"/>
    <w:rsid w:val="004D5B61"/>
    <w:rsid w:val="004E29A1"/>
    <w:rsid w:val="004E4250"/>
    <w:rsid w:val="004E4C50"/>
    <w:rsid w:val="004F070C"/>
    <w:rsid w:val="004F1523"/>
    <w:rsid w:val="004F4359"/>
    <w:rsid w:val="005024BC"/>
    <w:rsid w:val="00505EC9"/>
    <w:rsid w:val="005109BD"/>
    <w:rsid w:val="00516655"/>
    <w:rsid w:val="0053321C"/>
    <w:rsid w:val="00536821"/>
    <w:rsid w:val="00553393"/>
    <w:rsid w:val="00554C33"/>
    <w:rsid w:val="0056593D"/>
    <w:rsid w:val="00574EF0"/>
    <w:rsid w:val="00580000"/>
    <w:rsid w:val="00584855"/>
    <w:rsid w:val="0058640C"/>
    <w:rsid w:val="0058691A"/>
    <w:rsid w:val="005A2D36"/>
    <w:rsid w:val="005A5CB6"/>
    <w:rsid w:val="005B4D00"/>
    <w:rsid w:val="005C2038"/>
    <w:rsid w:val="005C38A7"/>
    <w:rsid w:val="005C60A4"/>
    <w:rsid w:val="005D34BE"/>
    <w:rsid w:val="005D771D"/>
    <w:rsid w:val="005E1236"/>
    <w:rsid w:val="005E32C8"/>
    <w:rsid w:val="005E6518"/>
    <w:rsid w:val="005F0164"/>
    <w:rsid w:val="005F5CBF"/>
    <w:rsid w:val="006045B9"/>
    <w:rsid w:val="00610353"/>
    <w:rsid w:val="006105F5"/>
    <w:rsid w:val="00615E64"/>
    <w:rsid w:val="00630DBF"/>
    <w:rsid w:val="00636118"/>
    <w:rsid w:val="006451B1"/>
    <w:rsid w:val="00645C29"/>
    <w:rsid w:val="006533F6"/>
    <w:rsid w:val="00655ABB"/>
    <w:rsid w:val="0065721E"/>
    <w:rsid w:val="00660D4F"/>
    <w:rsid w:val="006616FB"/>
    <w:rsid w:val="00664F01"/>
    <w:rsid w:val="0066576B"/>
    <w:rsid w:val="00667D4A"/>
    <w:rsid w:val="00672EDC"/>
    <w:rsid w:val="006810CA"/>
    <w:rsid w:val="0069119C"/>
    <w:rsid w:val="00694F57"/>
    <w:rsid w:val="006966E0"/>
    <w:rsid w:val="006C00EF"/>
    <w:rsid w:val="006C28A6"/>
    <w:rsid w:val="006C68C3"/>
    <w:rsid w:val="006D1B8F"/>
    <w:rsid w:val="006D1FDF"/>
    <w:rsid w:val="006D3F22"/>
    <w:rsid w:val="006E17E2"/>
    <w:rsid w:val="006E7A76"/>
    <w:rsid w:val="00715362"/>
    <w:rsid w:val="007177F1"/>
    <w:rsid w:val="007244D4"/>
    <w:rsid w:val="00727746"/>
    <w:rsid w:val="00753E05"/>
    <w:rsid w:val="00754744"/>
    <w:rsid w:val="007645A6"/>
    <w:rsid w:val="00772714"/>
    <w:rsid w:val="00774F3B"/>
    <w:rsid w:val="00777A45"/>
    <w:rsid w:val="007929C3"/>
    <w:rsid w:val="007A1A91"/>
    <w:rsid w:val="007A37A2"/>
    <w:rsid w:val="007A7D85"/>
    <w:rsid w:val="007B3B05"/>
    <w:rsid w:val="007B4C4E"/>
    <w:rsid w:val="007B7E23"/>
    <w:rsid w:val="007C1CBC"/>
    <w:rsid w:val="007D0351"/>
    <w:rsid w:val="007D0FB1"/>
    <w:rsid w:val="007D3280"/>
    <w:rsid w:val="007D600E"/>
    <w:rsid w:val="007E7040"/>
    <w:rsid w:val="007F5473"/>
    <w:rsid w:val="00800E26"/>
    <w:rsid w:val="00824685"/>
    <w:rsid w:val="00827AAA"/>
    <w:rsid w:val="00834035"/>
    <w:rsid w:val="00844A70"/>
    <w:rsid w:val="00857ACC"/>
    <w:rsid w:val="00863222"/>
    <w:rsid w:val="00864FAE"/>
    <w:rsid w:val="00867536"/>
    <w:rsid w:val="00873F16"/>
    <w:rsid w:val="0088360C"/>
    <w:rsid w:val="00893D77"/>
    <w:rsid w:val="00894C06"/>
    <w:rsid w:val="008A0514"/>
    <w:rsid w:val="008B1967"/>
    <w:rsid w:val="008B2FB0"/>
    <w:rsid w:val="008C0428"/>
    <w:rsid w:val="008C3B6D"/>
    <w:rsid w:val="008D0EAE"/>
    <w:rsid w:val="008D211F"/>
    <w:rsid w:val="008E1BEE"/>
    <w:rsid w:val="00901214"/>
    <w:rsid w:val="009020D5"/>
    <w:rsid w:val="00902EB6"/>
    <w:rsid w:val="009121F0"/>
    <w:rsid w:val="00926E7A"/>
    <w:rsid w:val="00930F77"/>
    <w:rsid w:val="00932BB9"/>
    <w:rsid w:val="0093653B"/>
    <w:rsid w:val="009369C2"/>
    <w:rsid w:val="009374D1"/>
    <w:rsid w:val="009408CB"/>
    <w:rsid w:val="00941EFF"/>
    <w:rsid w:val="0094395F"/>
    <w:rsid w:val="00950430"/>
    <w:rsid w:val="00957B92"/>
    <w:rsid w:val="00963294"/>
    <w:rsid w:val="009801EF"/>
    <w:rsid w:val="00984F71"/>
    <w:rsid w:val="009969BC"/>
    <w:rsid w:val="009A2431"/>
    <w:rsid w:val="009A2E2B"/>
    <w:rsid w:val="009A4959"/>
    <w:rsid w:val="009C51F9"/>
    <w:rsid w:val="009C5C94"/>
    <w:rsid w:val="009C64FA"/>
    <w:rsid w:val="009D51FF"/>
    <w:rsid w:val="009E0DF3"/>
    <w:rsid w:val="009E36C8"/>
    <w:rsid w:val="00A01914"/>
    <w:rsid w:val="00A02207"/>
    <w:rsid w:val="00A10732"/>
    <w:rsid w:val="00A115EE"/>
    <w:rsid w:val="00A134AF"/>
    <w:rsid w:val="00A15789"/>
    <w:rsid w:val="00A239CA"/>
    <w:rsid w:val="00A26ECC"/>
    <w:rsid w:val="00A3251C"/>
    <w:rsid w:val="00A339BD"/>
    <w:rsid w:val="00A41407"/>
    <w:rsid w:val="00A5642C"/>
    <w:rsid w:val="00A705A3"/>
    <w:rsid w:val="00A70B64"/>
    <w:rsid w:val="00A92536"/>
    <w:rsid w:val="00AB6A9D"/>
    <w:rsid w:val="00AC01F1"/>
    <w:rsid w:val="00AC45C2"/>
    <w:rsid w:val="00AD0703"/>
    <w:rsid w:val="00AD53A2"/>
    <w:rsid w:val="00AD74CB"/>
    <w:rsid w:val="00AE0258"/>
    <w:rsid w:val="00AE617D"/>
    <w:rsid w:val="00AF0FAE"/>
    <w:rsid w:val="00AF20D6"/>
    <w:rsid w:val="00AF31E3"/>
    <w:rsid w:val="00AF70EB"/>
    <w:rsid w:val="00B00584"/>
    <w:rsid w:val="00B150EE"/>
    <w:rsid w:val="00B16FAA"/>
    <w:rsid w:val="00B176A2"/>
    <w:rsid w:val="00B25CA0"/>
    <w:rsid w:val="00B26614"/>
    <w:rsid w:val="00B2666D"/>
    <w:rsid w:val="00B31059"/>
    <w:rsid w:val="00B4035A"/>
    <w:rsid w:val="00B44FBB"/>
    <w:rsid w:val="00B642CE"/>
    <w:rsid w:val="00B76E13"/>
    <w:rsid w:val="00B77EAB"/>
    <w:rsid w:val="00B8274B"/>
    <w:rsid w:val="00BA170D"/>
    <w:rsid w:val="00BA54BF"/>
    <w:rsid w:val="00BA586F"/>
    <w:rsid w:val="00BB15F0"/>
    <w:rsid w:val="00BC4F52"/>
    <w:rsid w:val="00BE155C"/>
    <w:rsid w:val="00BE50EC"/>
    <w:rsid w:val="00BE7F12"/>
    <w:rsid w:val="00BF7CE7"/>
    <w:rsid w:val="00C10612"/>
    <w:rsid w:val="00C1438B"/>
    <w:rsid w:val="00C15686"/>
    <w:rsid w:val="00C17699"/>
    <w:rsid w:val="00C21755"/>
    <w:rsid w:val="00C235FE"/>
    <w:rsid w:val="00C2466E"/>
    <w:rsid w:val="00C510C4"/>
    <w:rsid w:val="00C5278B"/>
    <w:rsid w:val="00C558B6"/>
    <w:rsid w:val="00C5754F"/>
    <w:rsid w:val="00C57B52"/>
    <w:rsid w:val="00C64A5A"/>
    <w:rsid w:val="00C70122"/>
    <w:rsid w:val="00C71E07"/>
    <w:rsid w:val="00C8350B"/>
    <w:rsid w:val="00CA01BF"/>
    <w:rsid w:val="00CA423E"/>
    <w:rsid w:val="00CA575A"/>
    <w:rsid w:val="00CA68B1"/>
    <w:rsid w:val="00CA7306"/>
    <w:rsid w:val="00CB6BA7"/>
    <w:rsid w:val="00CE2683"/>
    <w:rsid w:val="00CE477E"/>
    <w:rsid w:val="00D01C10"/>
    <w:rsid w:val="00D02D4F"/>
    <w:rsid w:val="00D0773D"/>
    <w:rsid w:val="00D13FAF"/>
    <w:rsid w:val="00D17DAA"/>
    <w:rsid w:val="00D25A32"/>
    <w:rsid w:val="00D37845"/>
    <w:rsid w:val="00D42190"/>
    <w:rsid w:val="00D42C78"/>
    <w:rsid w:val="00D43D10"/>
    <w:rsid w:val="00D472CC"/>
    <w:rsid w:val="00D52C79"/>
    <w:rsid w:val="00D64239"/>
    <w:rsid w:val="00D655CB"/>
    <w:rsid w:val="00D76103"/>
    <w:rsid w:val="00D83E25"/>
    <w:rsid w:val="00D906C1"/>
    <w:rsid w:val="00D9172B"/>
    <w:rsid w:val="00D933F2"/>
    <w:rsid w:val="00DB2548"/>
    <w:rsid w:val="00DC5DCE"/>
    <w:rsid w:val="00DC72E6"/>
    <w:rsid w:val="00DD5B01"/>
    <w:rsid w:val="00DE0452"/>
    <w:rsid w:val="00DE1081"/>
    <w:rsid w:val="00DE6F01"/>
    <w:rsid w:val="00DF59C3"/>
    <w:rsid w:val="00E36A9E"/>
    <w:rsid w:val="00E409AC"/>
    <w:rsid w:val="00E41366"/>
    <w:rsid w:val="00E46597"/>
    <w:rsid w:val="00E771A6"/>
    <w:rsid w:val="00E82EDE"/>
    <w:rsid w:val="00EA0271"/>
    <w:rsid w:val="00EA6BF2"/>
    <w:rsid w:val="00EB4C95"/>
    <w:rsid w:val="00EB505A"/>
    <w:rsid w:val="00EC19F9"/>
    <w:rsid w:val="00EC4D7B"/>
    <w:rsid w:val="00EC66AE"/>
    <w:rsid w:val="00EC7205"/>
    <w:rsid w:val="00EE1CBD"/>
    <w:rsid w:val="00EE1E01"/>
    <w:rsid w:val="00EE3C1F"/>
    <w:rsid w:val="00EF37AE"/>
    <w:rsid w:val="00EF38E1"/>
    <w:rsid w:val="00F073A3"/>
    <w:rsid w:val="00F174CF"/>
    <w:rsid w:val="00F23C65"/>
    <w:rsid w:val="00F240F5"/>
    <w:rsid w:val="00F25AB1"/>
    <w:rsid w:val="00F311B1"/>
    <w:rsid w:val="00F35FE7"/>
    <w:rsid w:val="00F41C78"/>
    <w:rsid w:val="00F46E0F"/>
    <w:rsid w:val="00F55B32"/>
    <w:rsid w:val="00F55EAF"/>
    <w:rsid w:val="00F60A12"/>
    <w:rsid w:val="00F65F83"/>
    <w:rsid w:val="00F76A4B"/>
    <w:rsid w:val="00F80A98"/>
    <w:rsid w:val="00F81ACD"/>
    <w:rsid w:val="00F82B0A"/>
    <w:rsid w:val="00FA0BD2"/>
    <w:rsid w:val="00FA1E94"/>
    <w:rsid w:val="00FB2D67"/>
    <w:rsid w:val="00FB48EC"/>
    <w:rsid w:val="00FB7A22"/>
    <w:rsid w:val="00FB7C30"/>
    <w:rsid w:val="00FC27F1"/>
    <w:rsid w:val="00FC5EDD"/>
    <w:rsid w:val="00FC6D61"/>
    <w:rsid w:val="00FD105C"/>
    <w:rsid w:val="00FD1F2E"/>
    <w:rsid w:val="00FD4849"/>
    <w:rsid w:val="00FF2F18"/>
    <w:rsid w:val="00FF46EE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5738"/>
  <w15:docId w15:val="{CF06B0EC-DCA3-6C41-B287-9381FDA8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7D600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7D600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D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B681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B681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B681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68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68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6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joanaziller\Documents\Dados%20estat&#237;sticos%20SIC%20e%20Ouvidoria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oanazillernovo/Desktop/Evoluc&#807;a&#771;o%20dados%20Ouvidor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oanazillernovo/Desktop/Evoluc&#807;a&#771;o%20dados%20Ouvidor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oanazillernovo/Desktop/Evoluc&#807;a&#771;o%20dados%20Ouvidori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oanazillernovo/Desktop/Evoluc&#807;a&#771;o%20dados%20Ouvidori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joanazillernovo/Desktop/Evoluc&#807;a&#771;o%20dados%20Ouvidori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Plan1!$A$14:$A$26</c:f>
              <c:numCache>
                <c:formatCode>mmm\-yy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Plan1!$B$14:$B$26</c:f>
              <c:numCache>
                <c:formatCode>General</c:formatCode>
                <c:ptCount val="13"/>
                <c:pt idx="0">
                  <c:v>48.64</c:v>
                </c:pt>
                <c:pt idx="1">
                  <c:v>30.27</c:v>
                </c:pt>
                <c:pt idx="2">
                  <c:v>51.45</c:v>
                </c:pt>
                <c:pt idx="3">
                  <c:v>48.15</c:v>
                </c:pt>
                <c:pt idx="4">
                  <c:v>32.94</c:v>
                </c:pt>
                <c:pt idx="5">
                  <c:v>41.17</c:v>
                </c:pt>
                <c:pt idx="6">
                  <c:v>32.909999999999997</c:v>
                </c:pt>
                <c:pt idx="7">
                  <c:v>30.31</c:v>
                </c:pt>
                <c:pt idx="8">
                  <c:v>21.41</c:v>
                </c:pt>
                <c:pt idx="9">
                  <c:v>11.77</c:v>
                </c:pt>
                <c:pt idx="10">
                  <c:v>24.17</c:v>
                </c:pt>
                <c:pt idx="11">
                  <c:v>24.15</c:v>
                </c:pt>
                <c:pt idx="12">
                  <c:v>11.79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19-EC4E-901F-14715DF537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4370176"/>
        <c:axId val="44371968"/>
      </c:lineChart>
      <c:dateAx>
        <c:axId val="4437017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44371968"/>
        <c:crosses val="autoZero"/>
        <c:auto val="1"/>
        <c:lblOffset val="100"/>
        <c:baseTimeUnit val="months"/>
      </c:dateAx>
      <c:valAx>
        <c:axId val="44371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437017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SIC!$A$43</c:f>
              <c:strCache>
                <c:ptCount val="1"/>
                <c:pt idx="0">
                  <c:v>Pedidos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SIC!$B$42:$H$42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SIC!$B$43:$H$43</c:f>
              <c:numCache>
                <c:formatCode>General</c:formatCode>
                <c:ptCount val="7"/>
                <c:pt idx="0">
                  <c:v>91</c:v>
                </c:pt>
                <c:pt idx="1">
                  <c:v>185</c:v>
                </c:pt>
                <c:pt idx="2">
                  <c:v>191</c:v>
                </c:pt>
                <c:pt idx="3">
                  <c:v>191</c:v>
                </c:pt>
                <c:pt idx="4">
                  <c:v>296</c:v>
                </c:pt>
                <c:pt idx="5">
                  <c:v>365</c:v>
                </c:pt>
                <c:pt idx="6">
                  <c:v>344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89-CE46-AE40-BC13FA846FE3}"/>
            </c:ext>
          </c:extLst>
        </c:ser>
        <c:ser>
          <c:idx val="1"/>
          <c:order val="1"/>
          <c:tx>
            <c:strRef>
              <c:f>SIC!$A$44</c:f>
              <c:strCache>
                <c:ptCount val="1"/>
                <c:pt idx="0">
                  <c:v>Recursos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SIC!$B$42:$H$42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SIC!$B$44:$H$44</c:f>
              <c:numCache>
                <c:formatCode>General</c:formatCode>
                <c:ptCount val="7"/>
                <c:pt idx="0">
                  <c:v>9</c:v>
                </c:pt>
                <c:pt idx="1">
                  <c:v>27</c:v>
                </c:pt>
                <c:pt idx="2">
                  <c:v>22</c:v>
                </c:pt>
                <c:pt idx="3">
                  <c:v>39</c:v>
                </c:pt>
                <c:pt idx="4">
                  <c:v>41</c:v>
                </c:pt>
                <c:pt idx="5">
                  <c:v>72</c:v>
                </c:pt>
                <c:pt idx="6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89-CE46-AE40-BC13FA846FE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28985088"/>
        <c:axId val="308293360"/>
      </c:lineChart>
      <c:catAx>
        <c:axId val="32898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08293360"/>
        <c:crosses val="autoZero"/>
        <c:auto val="1"/>
        <c:lblAlgn val="ctr"/>
        <c:lblOffset val="100"/>
        <c:noMultiLvlLbl val="0"/>
      </c:catAx>
      <c:valAx>
        <c:axId val="308293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898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SIC!$A$45</c:f>
              <c:strCache>
                <c:ptCount val="1"/>
                <c:pt idx="0">
                  <c:v>Chefe hierárquico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SIC!$B$42:$H$42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SIC!$B$45:$H$45</c:f>
              <c:numCache>
                <c:formatCode>General</c:formatCode>
                <c:ptCount val="7"/>
                <c:pt idx="0">
                  <c:v>8</c:v>
                </c:pt>
                <c:pt idx="1">
                  <c:v>17</c:v>
                </c:pt>
                <c:pt idx="2">
                  <c:v>20</c:v>
                </c:pt>
                <c:pt idx="3">
                  <c:v>21</c:v>
                </c:pt>
                <c:pt idx="4">
                  <c:v>33</c:v>
                </c:pt>
                <c:pt idx="5">
                  <c:v>49</c:v>
                </c:pt>
                <c:pt idx="6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98-7A48-9C1D-46E4875BB269}"/>
            </c:ext>
          </c:extLst>
        </c:ser>
        <c:ser>
          <c:idx val="1"/>
          <c:order val="1"/>
          <c:tx>
            <c:strRef>
              <c:f>SIC!$A$47</c:f>
              <c:strCache>
                <c:ptCount val="1"/>
                <c:pt idx="0">
                  <c:v>Autoridade máxima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2.6321126567449806E-2"/>
                  <c:y val="-3.4971039494604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98-7A48-9C1D-46E4875BB2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SIC!$B$42:$H$42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SIC!$B$47:$H$47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11</c:v>
                </c:pt>
                <c:pt idx="4">
                  <c:v>4</c:v>
                </c:pt>
                <c:pt idx="5">
                  <c:v>16</c:v>
                </c:pt>
                <c:pt idx="6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98-7A48-9C1D-46E4875BB269}"/>
            </c:ext>
          </c:extLst>
        </c:ser>
        <c:ser>
          <c:idx val="2"/>
          <c:order val="2"/>
          <c:tx>
            <c:strRef>
              <c:f>SIC!$A$49</c:f>
              <c:strCache>
                <c:ptCount val="1"/>
                <c:pt idx="0">
                  <c:v>CGU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98-7A48-9C1D-46E4875BB269}"/>
                </c:ext>
              </c:extLst>
            </c:dLbl>
            <c:dLbl>
              <c:idx val="1"/>
              <c:layout>
                <c:manualLayout>
                  <c:x val="-2.1726014119227265E-2"/>
                  <c:y val="-1.6550725049684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98-7A48-9C1D-46E4875BB269}"/>
                </c:ext>
              </c:extLst>
            </c:dLbl>
            <c:dLbl>
              <c:idx val="3"/>
              <c:layout>
                <c:manualLayout>
                  <c:x val="-2.1726014119227342E-2"/>
                  <c:y val="-1.6550725049684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98-7A48-9C1D-46E4875BB269}"/>
                </c:ext>
              </c:extLst>
            </c:dLbl>
            <c:dLbl>
              <c:idx val="4"/>
              <c:layout>
                <c:manualLayout>
                  <c:x val="-2.1726014119227192E-2"/>
                  <c:y val="-2.3918850827652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98-7A48-9C1D-46E4875BB2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SIC!$B$42:$H$42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SIC!$B$49:$H$49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F98-7A48-9C1D-46E4875BB269}"/>
            </c:ext>
          </c:extLst>
        </c:ser>
        <c:ser>
          <c:idx val="3"/>
          <c:order val="3"/>
          <c:tx>
            <c:strRef>
              <c:f>SIC!$A$51</c:f>
              <c:strCache>
                <c:ptCount val="1"/>
                <c:pt idx="0">
                  <c:v>CMRI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SIC!$B$42:$H$42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SIC!$B$51:$H$51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F98-7A48-9C1D-46E4875BB26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28541216"/>
        <c:axId val="328805920"/>
      </c:lineChart>
      <c:catAx>
        <c:axId val="32854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8805920"/>
        <c:crosses val="autoZero"/>
        <c:auto val="1"/>
        <c:lblAlgn val="ctr"/>
        <c:lblOffset val="100"/>
        <c:noMultiLvlLbl val="0"/>
      </c:catAx>
      <c:valAx>
        <c:axId val="328805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854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SIC!$A$2</c:f>
              <c:strCache>
                <c:ptCount val="1"/>
                <c:pt idx="0">
                  <c:v>Pedidos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SIC!$B$1:$N$1</c:f>
              <c:numCache>
                <c:formatCode>mmm\-yy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SIC!$B$2:$N$2</c:f>
              <c:numCache>
                <c:formatCode>General</c:formatCode>
                <c:ptCount val="13"/>
                <c:pt idx="0">
                  <c:v>24</c:v>
                </c:pt>
                <c:pt idx="1">
                  <c:v>24</c:v>
                </c:pt>
                <c:pt idx="2">
                  <c:v>25</c:v>
                </c:pt>
                <c:pt idx="3">
                  <c:v>31</c:v>
                </c:pt>
                <c:pt idx="4">
                  <c:v>25</c:v>
                </c:pt>
                <c:pt idx="5">
                  <c:v>45</c:v>
                </c:pt>
                <c:pt idx="6">
                  <c:v>39</c:v>
                </c:pt>
                <c:pt idx="7">
                  <c:v>30</c:v>
                </c:pt>
                <c:pt idx="8">
                  <c:v>31</c:v>
                </c:pt>
                <c:pt idx="9">
                  <c:v>33</c:v>
                </c:pt>
                <c:pt idx="10">
                  <c:v>20</c:v>
                </c:pt>
                <c:pt idx="11">
                  <c:v>17</c:v>
                </c:pt>
                <c:pt idx="12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5D-F74E-B831-839F3E9C235C}"/>
            </c:ext>
          </c:extLst>
        </c:ser>
        <c:ser>
          <c:idx val="1"/>
          <c:order val="1"/>
          <c:tx>
            <c:strRef>
              <c:f>SIC!$A$6</c:f>
              <c:strCache>
                <c:ptCount val="1"/>
                <c:pt idx="0">
                  <c:v>Recursos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SIC!$B$1:$N$1</c:f>
              <c:numCache>
                <c:formatCode>mmm\-yy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SIC!$B$6:$N$6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  <c:pt idx="6">
                  <c:v>4</c:v>
                </c:pt>
                <c:pt idx="7">
                  <c:v>9</c:v>
                </c:pt>
                <c:pt idx="8">
                  <c:v>6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5D-F74E-B831-839F3E9C235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27249680"/>
        <c:axId val="327282480"/>
      </c:lineChart>
      <c:dateAx>
        <c:axId val="3272496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7282480"/>
        <c:crosses val="autoZero"/>
        <c:auto val="1"/>
        <c:lblOffset val="100"/>
        <c:baseTimeUnit val="months"/>
      </c:dateAx>
      <c:valAx>
        <c:axId val="32728248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724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SIC!$A$8</c:f>
              <c:strCache>
                <c:ptCount val="1"/>
                <c:pt idx="0">
                  <c:v>Chefe hierárquico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SIC!$B$7:$N$7</c:f>
              <c:numCache>
                <c:formatCode>mmm\-yy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SIC!$B$8:$N$8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  <c:pt idx="6">
                  <c:v>2</c:v>
                </c:pt>
                <c:pt idx="7">
                  <c:v>5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14-6745-898F-BF5C84508F03}"/>
            </c:ext>
          </c:extLst>
        </c:ser>
        <c:ser>
          <c:idx val="1"/>
          <c:order val="1"/>
          <c:tx>
            <c:strRef>
              <c:f>SIC!$A$10</c:f>
              <c:strCache>
                <c:ptCount val="1"/>
                <c:pt idx="0">
                  <c:v>Autoridade máxima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SIC!$B$7:$N$7</c:f>
              <c:numCache>
                <c:formatCode>mmm\-yy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SIC!$B$10:$N$10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14-6745-898F-BF5C84508F03}"/>
            </c:ext>
          </c:extLst>
        </c:ser>
        <c:ser>
          <c:idx val="2"/>
          <c:order val="2"/>
          <c:tx>
            <c:strRef>
              <c:f>SIC!$A$12</c:f>
              <c:strCache>
                <c:ptCount val="1"/>
                <c:pt idx="0">
                  <c:v>CGU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14-6745-898F-BF5C84508F0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14-6745-898F-BF5C84508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SIC!$B$7:$N$7</c:f>
              <c:numCache>
                <c:formatCode>mmm\-yy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SIC!$B$12:$N$12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B14-6745-898F-BF5C84508F03}"/>
            </c:ext>
          </c:extLst>
        </c:ser>
        <c:ser>
          <c:idx val="3"/>
          <c:order val="3"/>
          <c:tx>
            <c:strRef>
              <c:f>SIC!$A$14</c:f>
              <c:strCache>
                <c:ptCount val="1"/>
                <c:pt idx="0">
                  <c:v>CMRI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SIC!$B$7:$N$7</c:f>
              <c:numCache>
                <c:formatCode>mmm\-yy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SIC!$B$14:$N$14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B14-6745-898F-BF5C84508F0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36991936"/>
        <c:axId val="259209408"/>
      </c:lineChart>
      <c:dateAx>
        <c:axId val="23699193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9209408"/>
        <c:crosses val="autoZero"/>
        <c:auto val="1"/>
        <c:lblOffset val="100"/>
        <c:baseTimeUnit val="months"/>
      </c:dateAx>
      <c:valAx>
        <c:axId val="25920940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699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SIC!$A$77</c:f>
              <c:strCache>
                <c:ptCount val="1"/>
                <c:pt idx="0">
                  <c:v>Pedidos não respondidos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SIC!$B$76:$H$76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SIC!$B$77:$H$77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13</c:v>
                </c:pt>
                <c:pt idx="5">
                  <c:v>15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9-6043-B07A-B58FF86B8F4C}"/>
            </c:ext>
          </c:extLst>
        </c:ser>
        <c:ser>
          <c:idx val="1"/>
          <c:order val="1"/>
          <c:tx>
            <c:strRef>
              <c:f>SIC!$A$78</c:f>
              <c:strCache>
                <c:ptCount val="1"/>
                <c:pt idx="0">
                  <c:v>Recursos não respondidos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D9-6043-B07A-B58FF86B8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SIC!$B$76:$H$76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SIC!$B$78:$H$78</c:f>
              <c:numCache>
                <c:formatCode>General</c:formatCode>
                <c:ptCount val="7"/>
                <c:pt idx="0">
                  <c:v>4</c:v>
                </c:pt>
                <c:pt idx="1">
                  <c:v>11</c:v>
                </c:pt>
                <c:pt idx="2">
                  <c:v>19</c:v>
                </c:pt>
                <c:pt idx="3">
                  <c:v>0</c:v>
                </c:pt>
                <c:pt idx="4">
                  <c:v>5</c:v>
                </c:pt>
                <c:pt idx="5">
                  <c:v>12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D9-6043-B07A-B58FF86B8F4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59851488"/>
        <c:axId val="308249696"/>
      </c:barChart>
      <c:catAx>
        <c:axId val="25985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08249696"/>
        <c:crosses val="autoZero"/>
        <c:auto val="1"/>
        <c:lblAlgn val="ctr"/>
        <c:lblOffset val="100"/>
        <c:noMultiLvlLbl val="0"/>
      </c:catAx>
      <c:valAx>
        <c:axId val="308249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985148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7EA3-95CC-DC4D-946F-7E43043C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12</Pages>
  <Words>2481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Ziller de Araujo Josephson</dc:creator>
  <cp:lastModifiedBy>Joana Ziller</cp:lastModifiedBy>
  <cp:revision>372</cp:revision>
  <dcterms:created xsi:type="dcterms:W3CDTF">2019-02-28T17:43:00Z</dcterms:created>
  <dcterms:modified xsi:type="dcterms:W3CDTF">2019-03-08T19:18:00Z</dcterms:modified>
</cp:coreProperties>
</file>