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AD" w:rsidRDefault="00DB3EAD" w:rsidP="00DB3EAD">
      <w:pPr>
        <w:pStyle w:val="Ttulo1"/>
        <w:ind w:left="1890"/>
        <w:rPr>
          <w:b w:val="0"/>
          <w:noProof/>
          <w:lang w:val="en-US" w:eastAsia="en-US"/>
        </w:rPr>
      </w:pPr>
      <w:bookmarkStart w:id="0" w:name="_GoBack"/>
      <w:bookmarkEnd w:id="0"/>
      <w:r w:rsidRPr="00B96750">
        <w:rPr>
          <w:b w:val="0"/>
          <w:noProof/>
          <w:color w:val="000000"/>
          <w:sz w:val="14"/>
          <w:szCs w:val="14"/>
          <w:lang w:val="pt-BR"/>
        </w:rPr>
        <w:drawing>
          <wp:inline distT="0" distB="0" distL="0" distR="0">
            <wp:extent cx="1790700" cy="847725"/>
            <wp:effectExtent l="0" t="0" r="0" b="0"/>
            <wp:docPr id="2" name="Imagem 1" descr="C:\Users\PROEX\Desktop\logo nova 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EX\Desktop\logo nova 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AD" w:rsidRPr="005979FF" w:rsidRDefault="00DB3EAD" w:rsidP="00DB3EAD">
      <w:pPr>
        <w:jc w:val="center"/>
        <w:rPr>
          <w:b/>
          <w:sz w:val="22"/>
          <w:szCs w:val="22"/>
          <w:lang w:val="pt-BR"/>
        </w:rPr>
      </w:pPr>
    </w:p>
    <w:tbl>
      <w:tblPr>
        <w:tblW w:w="9044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7201"/>
        <w:gridCol w:w="1843"/>
      </w:tblGrid>
      <w:tr w:rsidR="00DB3EAD" w:rsidRPr="005979FF" w:rsidTr="00DB3EAD">
        <w:trPr>
          <w:cantSplit/>
          <w:trHeight w:val="586"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EAD" w:rsidRPr="005979FF" w:rsidRDefault="00DB3EAD" w:rsidP="00CA727C">
            <w:pPr>
              <w:tabs>
                <w:tab w:val="left" w:pos="567"/>
              </w:tabs>
              <w:rPr>
                <w:sz w:val="22"/>
                <w:szCs w:val="22"/>
                <w:lang w:val="pt-BR"/>
              </w:rPr>
            </w:pPr>
            <w:r w:rsidRPr="005979FF">
              <w:rPr>
                <w:b/>
                <w:sz w:val="22"/>
                <w:szCs w:val="22"/>
                <w:lang w:val="pt-BR"/>
              </w:rPr>
              <w:t>Disciplina</w:t>
            </w:r>
            <w:r w:rsidRPr="005979FF">
              <w:rPr>
                <w:sz w:val="22"/>
                <w:szCs w:val="22"/>
                <w:lang w:val="pt-BR"/>
              </w:rPr>
              <w:t xml:space="preserve">: Tópicos Especiais em Teoria e Análise Política: </w:t>
            </w:r>
          </w:p>
          <w:p w:rsidR="00DB3EAD" w:rsidRPr="005979FF" w:rsidRDefault="00DB3EAD" w:rsidP="00CA727C">
            <w:pPr>
              <w:tabs>
                <w:tab w:val="left" w:pos="567"/>
              </w:tabs>
              <w:rPr>
                <w:i/>
                <w:sz w:val="22"/>
                <w:szCs w:val="22"/>
                <w:lang w:val="pt-BR"/>
              </w:rPr>
            </w:pPr>
            <w:r>
              <w:rPr>
                <w:i/>
                <w:sz w:val="22"/>
                <w:szCs w:val="22"/>
                <w:lang w:val="pt-BR"/>
              </w:rPr>
              <w:t>Brazilian Politics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EAD" w:rsidRDefault="00DB3EAD" w:rsidP="00CA727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979FF">
              <w:rPr>
                <w:sz w:val="22"/>
                <w:szCs w:val="22"/>
              </w:rPr>
              <w:t>Código</w:t>
            </w:r>
          </w:p>
          <w:p w:rsidR="00DB3EAD" w:rsidRPr="005979FF" w:rsidRDefault="00DB3EAD" w:rsidP="00DB3EAD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DB3EAD" w:rsidRPr="005979FF" w:rsidRDefault="00DB3EAD" w:rsidP="00CA727C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DB3EAD" w:rsidRPr="005979FF" w:rsidTr="00CA727C">
        <w:trPr>
          <w:cantSplit/>
        </w:trPr>
        <w:tc>
          <w:tcPr>
            <w:tcW w:w="7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EAD" w:rsidRPr="005979FF" w:rsidRDefault="00DB3EAD" w:rsidP="00CA727C">
            <w:pPr>
              <w:tabs>
                <w:tab w:val="left" w:pos="567"/>
              </w:tabs>
              <w:rPr>
                <w:sz w:val="22"/>
                <w:szCs w:val="22"/>
                <w:lang w:val="pt-BR"/>
              </w:rPr>
            </w:pPr>
            <w:r w:rsidRPr="005979FF">
              <w:rPr>
                <w:b/>
                <w:sz w:val="22"/>
                <w:szCs w:val="22"/>
                <w:lang w:val="pt-BR"/>
              </w:rPr>
              <w:t>Semestre</w:t>
            </w:r>
            <w:r w:rsidRPr="005979FF">
              <w:rPr>
                <w:sz w:val="22"/>
                <w:szCs w:val="22"/>
                <w:lang w:val="pt-BR"/>
              </w:rPr>
              <w:t xml:space="preserve">: </w:t>
            </w:r>
            <w:r>
              <w:rPr>
                <w:sz w:val="22"/>
                <w:szCs w:val="22"/>
                <w:lang w:val="pt-BR"/>
              </w:rPr>
              <w:t>2/2016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EAD" w:rsidRPr="005979FF" w:rsidRDefault="00DB3EAD" w:rsidP="00CA727C">
            <w:pPr>
              <w:tabs>
                <w:tab w:val="left" w:pos="567"/>
              </w:tabs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B3EAD" w:rsidRPr="00597EC4" w:rsidTr="00CA727C">
        <w:trPr>
          <w:cantSplit/>
        </w:trPr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EAD" w:rsidRPr="005979FF" w:rsidRDefault="00DB3EAD" w:rsidP="00CA727C">
            <w:pPr>
              <w:tabs>
                <w:tab w:val="left" w:pos="567"/>
              </w:tabs>
              <w:rPr>
                <w:sz w:val="22"/>
                <w:szCs w:val="22"/>
                <w:lang w:val="pt-BR"/>
              </w:rPr>
            </w:pPr>
            <w:r w:rsidRPr="005979FF">
              <w:rPr>
                <w:b/>
                <w:sz w:val="22"/>
                <w:szCs w:val="22"/>
                <w:lang w:val="pt-BR"/>
              </w:rPr>
              <w:t>Carga</w:t>
            </w:r>
            <w:r w:rsidRPr="005979FF">
              <w:rPr>
                <w:sz w:val="22"/>
                <w:szCs w:val="22"/>
                <w:lang w:val="pt-BR"/>
              </w:rPr>
              <w:t xml:space="preserve"> </w:t>
            </w:r>
            <w:r w:rsidRPr="005979FF">
              <w:rPr>
                <w:b/>
                <w:sz w:val="22"/>
                <w:szCs w:val="22"/>
                <w:lang w:val="pt-BR"/>
              </w:rPr>
              <w:t>Horária</w:t>
            </w:r>
            <w:r w:rsidRPr="005979FF">
              <w:rPr>
                <w:sz w:val="22"/>
                <w:szCs w:val="22"/>
                <w:lang w:val="pt-BR"/>
              </w:rPr>
              <w:t>: 45 (quarenta e cinco) Horas/Aula</w:t>
            </w:r>
          </w:p>
        </w:tc>
      </w:tr>
    </w:tbl>
    <w:p w:rsidR="00DB3EAD" w:rsidRDefault="00DB3EAD" w:rsidP="002D1A4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  <w:lang w:val="en-US"/>
        </w:rPr>
      </w:pPr>
    </w:p>
    <w:p w:rsidR="002D1A40" w:rsidRPr="0062219B" w:rsidRDefault="002A1F3F" w:rsidP="0062219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43434"/>
          <w:lang w:val="en-US"/>
        </w:rPr>
      </w:pPr>
      <w:r w:rsidRPr="0062219B">
        <w:rPr>
          <w:rFonts w:ascii="Helvetica" w:hAnsi="Helvetica" w:cs="Helvetica"/>
          <w:b/>
          <w:color w:val="343434"/>
          <w:lang w:val="en-US"/>
        </w:rPr>
        <w:t xml:space="preserve">Course </w:t>
      </w:r>
      <w:r w:rsidR="002D1A40" w:rsidRPr="0062219B">
        <w:rPr>
          <w:rFonts w:ascii="Helvetica" w:hAnsi="Helvetica" w:cs="Helvetica"/>
          <w:b/>
          <w:color w:val="343434"/>
          <w:lang w:val="en-US"/>
        </w:rPr>
        <w:t xml:space="preserve">Syllabus </w:t>
      </w:r>
    </w:p>
    <w:p w:rsidR="002A1F3F" w:rsidRPr="0062219B" w:rsidRDefault="002A1F3F" w:rsidP="006221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lang w:val="en-US"/>
        </w:rPr>
      </w:pPr>
    </w:p>
    <w:p w:rsidR="002A1F3F" w:rsidRPr="0062219B" w:rsidRDefault="002A1F3F" w:rsidP="006221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lang w:val="en-US"/>
        </w:rPr>
      </w:pPr>
      <w:r w:rsidRPr="0062219B">
        <w:rPr>
          <w:rFonts w:ascii="Helvetica" w:hAnsi="Helvetica" w:cs="Helvetica"/>
          <w:color w:val="343434"/>
          <w:lang w:val="en-US"/>
        </w:rPr>
        <w:t xml:space="preserve">This course aims at presenting an overview of contemporary Brazilian Politics. It is structured around four dimensions: (1) political institutions; (2) democratic innovations; (3) public policy; and (4) social struggles. Through these dimensions, the course seeks to present </w:t>
      </w:r>
      <w:r w:rsidR="0062219B" w:rsidRPr="0062219B">
        <w:rPr>
          <w:rFonts w:ascii="Helvetica" w:hAnsi="Helvetica" w:cs="Helvetica"/>
          <w:color w:val="343434"/>
          <w:lang w:val="en-US"/>
        </w:rPr>
        <w:t>a snapshot</w:t>
      </w:r>
      <w:r w:rsidRPr="0062219B">
        <w:rPr>
          <w:rFonts w:ascii="Helvetica" w:hAnsi="Helvetica" w:cs="Helvetica"/>
          <w:color w:val="343434"/>
          <w:lang w:val="en-US"/>
        </w:rPr>
        <w:t xml:space="preserve"> of</w:t>
      </w:r>
      <w:r w:rsidR="0062219B" w:rsidRPr="0062219B">
        <w:rPr>
          <w:rFonts w:ascii="Helvetica" w:hAnsi="Helvetica" w:cs="Helvetica"/>
          <w:color w:val="343434"/>
          <w:lang w:val="en-US"/>
        </w:rPr>
        <w:t xml:space="preserve"> important trends in</w:t>
      </w:r>
      <w:r w:rsidRPr="0062219B">
        <w:rPr>
          <w:rFonts w:ascii="Helvetica" w:hAnsi="Helvetica" w:cs="Helvetica"/>
          <w:color w:val="343434"/>
          <w:lang w:val="en-US"/>
        </w:rPr>
        <w:t xml:space="preserve"> Brazilian Politics, </w:t>
      </w:r>
      <w:r w:rsidR="0062219B" w:rsidRPr="0062219B">
        <w:rPr>
          <w:rFonts w:ascii="Helvetica" w:hAnsi="Helvetica" w:cs="Helvetica"/>
          <w:color w:val="343434"/>
          <w:lang w:val="en-US"/>
        </w:rPr>
        <w:t xml:space="preserve">also discussing </w:t>
      </w:r>
      <w:r w:rsidR="0062219B">
        <w:rPr>
          <w:rFonts w:ascii="Helvetica" w:hAnsi="Helvetica" w:cs="Helvetica"/>
          <w:color w:val="343434"/>
          <w:lang w:val="en-US"/>
        </w:rPr>
        <w:t xml:space="preserve">some of its contemporary dilemmas and crossroads. Fully taught in English, the course seeks to </w:t>
      </w:r>
      <w:r w:rsidR="009D4F4B">
        <w:rPr>
          <w:rFonts w:ascii="Helvetica" w:hAnsi="Helvetica" w:cs="Helvetica"/>
          <w:color w:val="343434"/>
          <w:lang w:val="en-US"/>
        </w:rPr>
        <w:t>broaden the audience of the Political Science Graduate Program, further developing its internationalization process.</w:t>
      </w:r>
    </w:p>
    <w:p w:rsidR="002D1A40" w:rsidRDefault="002D1A40" w:rsidP="002D1A4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  <w:lang w:val="en-US"/>
        </w:rPr>
      </w:pPr>
    </w:p>
    <w:p w:rsidR="002D1A40" w:rsidRDefault="002D1A40" w:rsidP="002D1A4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  <w:lang w:val="en-US"/>
        </w:rPr>
      </w:pPr>
    </w:p>
    <w:p w:rsidR="008A101C" w:rsidRDefault="008A101C" w:rsidP="002D1A4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  <w:lang w:val="en-US"/>
        </w:rPr>
      </w:pPr>
    </w:p>
    <w:p w:rsidR="002D1A40" w:rsidRDefault="002D1A40" w:rsidP="002D1A4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1447"/>
        <w:gridCol w:w="4559"/>
        <w:gridCol w:w="3004"/>
      </w:tblGrid>
      <w:tr w:rsidR="002D1A40" w:rsidRPr="00FD2C7F" w:rsidTr="00FD2C7F">
        <w:tc>
          <w:tcPr>
            <w:tcW w:w="1447" w:type="dxa"/>
          </w:tcPr>
          <w:p w:rsidR="002D1A40" w:rsidRPr="00FD2C7F" w:rsidRDefault="002D1A40" w:rsidP="00FD2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</w:pPr>
            <w:r w:rsidRPr="00FD2C7F"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  <w:t>Meeting</w:t>
            </w:r>
          </w:p>
        </w:tc>
        <w:tc>
          <w:tcPr>
            <w:tcW w:w="4559" w:type="dxa"/>
          </w:tcPr>
          <w:p w:rsidR="002D1A40" w:rsidRPr="00FD2C7F" w:rsidRDefault="002D1A40" w:rsidP="00FD2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</w:pPr>
            <w:r w:rsidRPr="00FD2C7F"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  <w:t>Topic</w:t>
            </w:r>
          </w:p>
        </w:tc>
        <w:tc>
          <w:tcPr>
            <w:tcW w:w="3004" w:type="dxa"/>
          </w:tcPr>
          <w:p w:rsidR="002D1A40" w:rsidRDefault="00FD2C7F" w:rsidP="00FD2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</w:pPr>
            <w:r w:rsidRPr="00FD2C7F"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  <w:t>Lecturer</w:t>
            </w:r>
          </w:p>
          <w:p w:rsidR="00FD2C7F" w:rsidRPr="00FD2C7F" w:rsidRDefault="00FD2C7F" w:rsidP="00FD2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343434"/>
                <w:sz w:val="28"/>
                <w:szCs w:val="28"/>
                <w:lang w:val="en-US"/>
              </w:rPr>
            </w:pPr>
          </w:p>
        </w:tc>
      </w:tr>
      <w:tr w:rsidR="002D1A40" w:rsidRPr="00FD2C7F" w:rsidTr="00FD2C7F">
        <w:tc>
          <w:tcPr>
            <w:tcW w:w="1447" w:type="dxa"/>
          </w:tcPr>
          <w:p w:rsidR="002D1A40" w:rsidRPr="00FD2C7F" w:rsidRDefault="002D1A40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2D1A40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 w:rsidRPr="00FD2C7F">
              <w:rPr>
                <w:rFonts w:ascii="Helvetica" w:hAnsi="Helvetica" w:cs="Helvetica"/>
                <w:color w:val="343434"/>
                <w:lang w:val="en-US"/>
              </w:rPr>
              <w:t>Presentation of the course outline</w:t>
            </w:r>
          </w:p>
        </w:tc>
        <w:tc>
          <w:tcPr>
            <w:tcW w:w="3004" w:type="dxa"/>
          </w:tcPr>
          <w:p w:rsidR="002D1A40" w:rsidRDefault="00FD2C7F" w:rsidP="00FD2C7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Ricardo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Mendonça</w:t>
            </w:r>
            <w:proofErr w:type="spellEnd"/>
            <w:r>
              <w:rPr>
                <w:rFonts w:ascii="Helvetica" w:hAnsi="Helvetica" w:cs="Helvetica"/>
                <w:color w:val="343434"/>
                <w:lang w:val="en-US"/>
              </w:rPr>
              <w:t xml:space="preserve"> and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Dawisson</w:t>
            </w:r>
            <w:proofErr w:type="spellEnd"/>
            <w:r>
              <w:rPr>
                <w:rFonts w:ascii="Helvetica" w:hAnsi="Helvetica" w:cs="Helvetica"/>
                <w:color w:val="343434"/>
                <w:lang w:val="en-US"/>
              </w:rPr>
              <w:t xml:space="preserve"> Lopes</w:t>
            </w:r>
          </w:p>
          <w:p w:rsidR="0062219B" w:rsidRPr="00FD2C7F" w:rsidRDefault="0062219B" w:rsidP="00FD2C7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</w:tr>
      <w:tr w:rsidR="002D1A40" w:rsidRPr="00FD2C7F" w:rsidTr="00FD2C7F">
        <w:tc>
          <w:tcPr>
            <w:tcW w:w="1447" w:type="dxa"/>
          </w:tcPr>
          <w:p w:rsidR="002D1A40" w:rsidRPr="00FD2C7F" w:rsidRDefault="002D1A40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2D1A40" w:rsidRDefault="00FD2C7F" w:rsidP="00FD2C7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The Brazilian democratization process and the National Constitutional Convention (1987-1988) </w:t>
            </w:r>
          </w:p>
          <w:p w:rsidR="00FD2C7F" w:rsidRPr="00FD2C7F" w:rsidRDefault="00FD2C7F" w:rsidP="00FD2C7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2D1A40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Leonardo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Avritzer</w:t>
            </w:r>
            <w:proofErr w:type="spellEnd"/>
          </w:p>
        </w:tc>
      </w:tr>
      <w:tr w:rsidR="002D1A40" w:rsidRPr="00FD2C7F" w:rsidTr="00FD2C7F">
        <w:tc>
          <w:tcPr>
            <w:tcW w:w="1447" w:type="dxa"/>
          </w:tcPr>
          <w:p w:rsidR="002D1A40" w:rsidRPr="00FD2C7F" w:rsidRDefault="002D1A40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2D1A40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 w:rsidRPr="002D1A40">
              <w:rPr>
                <w:rFonts w:ascii="Helvetica" w:hAnsi="Helvetica" w:cs="Helvetica"/>
                <w:color w:val="343434"/>
                <w:lang w:val="en-US"/>
              </w:rPr>
              <w:t>Brazilian Political System</w:t>
            </w:r>
          </w:p>
          <w:p w:rsidR="00FD2C7F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2D1A40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Bruno Reis</w:t>
            </w:r>
          </w:p>
        </w:tc>
      </w:tr>
      <w:tr w:rsidR="002D1A40" w:rsidRPr="00FD2C7F" w:rsidTr="00FD2C7F">
        <w:tc>
          <w:tcPr>
            <w:tcW w:w="1447" w:type="dxa"/>
          </w:tcPr>
          <w:p w:rsidR="002D1A40" w:rsidRPr="00FD2C7F" w:rsidRDefault="002D1A40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2D1A40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Money, power and the dilemmas of the Brazilian political system</w:t>
            </w:r>
          </w:p>
          <w:p w:rsidR="00FD2C7F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2D1A40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Bruno Reis</w:t>
            </w:r>
          </w:p>
        </w:tc>
      </w:tr>
      <w:tr w:rsidR="002D1A40" w:rsidRPr="00FD2C7F" w:rsidTr="00FD2C7F">
        <w:tc>
          <w:tcPr>
            <w:tcW w:w="1447" w:type="dxa"/>
          </w:tcPr>
          <w:p w:rsidR="002D1A40" w:rsidRPr="00FD2C7F" w:rsidRDefault="002D1A40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2D1A40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Democratic innovation in post 1988 Brazil</w:t>
            </w:r>
          </w:p>
          <w:p w:rsidR="00FD2C7F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2D1A40" w:rsidRPr="00FD2C7F" w:rsidRDefault="00FD2C7F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Leonardo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Avritzer</w:t>
            </w:r>
            <w:proofErr w:type="spellEnd"/>
          </w:p>
        </w:tc>
      </w:tr>
      <w:tr w:rsidR="002D1A40" w:rsidRPr="00FD2C7F" w:rsidTr="009D4F4B">
        <w:trPr>
          <w:trHeight w:val="898"/>
        </w:trPr>
        <w:tc>
          <w:tcPr>
            <w:tcW w:w="1447" w:type="dxa"/>
          </w:tcPr>
          <w:p w:rsidR="002D1A40" w:rsidRPr="00FD2C7F" w:rsidRDefault="002D1A40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FD2C7F" w:rsidRDefault="009D4F4B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Brazilian social </w:t>
            </w:r>
            <w:r w:rsidR="00B24982">
              <w:rPr>
                <w:rFonts w:ascii="Helvetica" w:hAnsi="Helvetica" w:cs="Helvetica"/>
                <w:color w:val="343434"/>
                <w:lang w:val="en-US"/>
              </w:rPr>
              <w:t>inequalities and the burden of P</w:t>
            </w:r>
            <w:r>
              <w:rPr>
                <w:rFonts w:ascii="Helvetica" w:hAnsi="Helvetica" w:cs="Helvetica"/>
                <w:color w:val="343434"/>
                <w:lang w:val="en-US"/>
              </w:rPr>
              <w:t>atrimonialism</w:t>
            </w:r>
          </w:p>
          <w:p w:rsidR="009D4F4B" w:rsidRPr="00FD2C7F" w:rsidRDefault="009D4F4B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FD2C7F" w:rsidRPr="00FD2C7F" w:rsidRDefault="009D4F4B" w:rsidP="002D1A4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Jorge Alexandre</w:t>
            </w:r>
          </w:p>
        </w:tc>
      </w:tr>
      <w:tr w:rsidR="009D4F4B" w:rsidRPr="00FD2C7F" w:rsidTr="00FD2C7F">
        <w:trPr>
          <w:trHeight w:val="311"/>
        </w:trPr>
        <w:tc>
          <w:tcPr>
            <w:tcW w:w="1447" w:type="dxa"/>
          </w:tcPr>
          <w:p w:rsidR="009D4F4B" w:rsidRPr="00FD2C7F" w:rsidRDefault="009D4F4B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9D4F4B" w:rsidRPr="00FD2C7F" w:rsidRDefault="00BA42CF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 w:rsidRPr="00BA42CF">
              <w:rPr>
                <w:rFonts w:ascii="Helvetica" w:hAnsi="Helvetica" w:cs="Helvetica"/>
                <w:color w:val="343434"/>
              </w:rPr>
              <w:t>Designs in Brazilian public policy</w:t>
            </w:r>
          </w:p>
        </w:tc>
        <w:tc>
          <w:tcPr>
            <w:tcW w:w="3004" w:type="dxa"/>
          </w:tcPr>
          <w:p w:rsidR="009D4F4B" w:rsidRDefault="009D4F4B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Ana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Karruz</w:t>
            </w:r>
            <w:proofErr w:type="spellEnd"/>
          </w:p>
          <w:p w:rsidR="009D4F4B" w:rsidRPr="00FD2C7F" w:rsidRDefault="009D4F4B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</w:tr>
      <w:tr w:rsidR="006F020C" w:rsidRPr="00FD2C7F" w:rsidTr="006F020C">
        <w:trPr>
          <w:trHeight w:val="605"/>
        </w:trPr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Energy Policy</w:t>
            </w:r>
          </w:p>
        </w:tc>
        <w:tc>
          <w:tcPr>
            <w:tcW w:w="3004" w:type="dxa"/>
          </w:tcPr>
          <w:p w:rsidR="006F020C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Klaus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Dalgaard</w:t>
            </w:r>
            <w:proofErr w:type="spellEnd"/>
          </w:p>
          <w:p w:rsidR="006F020C" w:rsidRPr="00FD2C7F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AC701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Environmental Policy</w:t>
            </w:r>
          </w:p>
          <w:p w:rsidR="006F020C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6F020C" w:rsidRPr="00FD2C7F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Klaus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Dalgaard</w:t>
            </w:r>
            <w:proofErr w:type="spellEnd"/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Foreign Policy</w:t>
            </w:r>
          </w:p>
        </w:tc>
        <w:tc>
          <w:tcPr>
            <w:tcW w:w="3004" w:type="dxa"/>
          </w:tcPr>
          <w:p w:rsidR="006F020C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Dawisson</w:t>
            </w:r>
            <w:proofErr w:type="spellEnd"/>
            <w:r>
              <w:rPr>
                <w:rFonts w:ascii="Helvetica" w:hAnsi="Helvetica" w:cs="Helvetica"/>
                <w:color w:val="343434"/>
                <w:lang w:val="en-US"/>
              </w:rPr>
              <w:t xml:space="preserve"> Lopes</w:t>
            </w:r>
          </w:p>
          <w:p w:rsidR="006F020C" w:rsidRPr="00FD2C7F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Defense Policy</w:t>
            </w:r>
          </w:p>
        </w:tc>
        <w:tc>
          <w:tcPr>
            <w:tcW w:w="3004" w:type="dxa"/>
          </w:tcPr>
          <w:p w:rsidR="006F020C" w:rsidRDefault="006F020C" w:rsidP="008A101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Dawisson</w:t>
            </w:r>
            <w:proofErr w:type="spellEnd"/>
            <w:r>
              <w:rPr>
                <w:rFonts w:ascii="Helvetica" w:hAnsi="Helvetica" w:cs="Helvetica"/>
                <w:color w:val="343434"/>
                <w:lang w:val="en-US"/>
              </w:rPr>
              <w:t xml:space="preserve"> Lopes</w:t>
            </w:r>
          </w:p>
          <w:p w:rsidR="006F020C" w:rsidRPr="00FD2C7F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7C16F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Affirmative action and education</w:t>
            </w:r>
          </w:p>
          <w:p w:rsidR="006F020C" w:rsidRPr="00FD2C7F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6F020C" w:rsidRPr="00FD2C7F" w:rsidRDefault="006F020C" w:rsidP="00CA727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 xml:space="preserve">Ana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Karruz</w:t>
            </w:r>
            <w:proofErr w:type="spellEnd"/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7A423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 w:rsidRPr="00BA42CF">
              <w:rPr>
                <w:rFonts w:ascii="Helvetica" w:hAnsi="Helvetica" w:cs="Helvetica"/>
                <w:color w:val="343434"/>
              </w:rPr>
              <w:t>Gender Policy and Politcs</w:t>
            </w:r>
          </w:p>
          <w:p w:rsidR="006F020C" w:rsidRDefault="006F020C" w:rsidP="00D642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6F020C" w:rsidRPr="00FD2C7F" w:rsidRDefault="006F020C" w:rsidP="00D642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Marlise</w:t>
            </w:r>
            <w:proofErr w:type="spellEnd"/>
            <w:r>
              <w:rPr>
                <w:rFonts w:ascii="Helvetica" w:hAnsi="Helvetica" w:cs="Helvetica"/>
                <w:color w:val="34343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Mattos</w:t>
            </w:r>
            <w:proofErr w:type="spellEnd"/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BA42CF">
            <w:pPr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 w:rsidRPr="00BA42CF">
              <w:rPr>
                <w:rFonts w:ascii="Helvetica" w:hAnsi="Helvetica" w:cs="Helvetica"/>
                <w:color w:val="343434"/>
              </w:rPr>
              <w:t>Feminist, Gender and Race struggles</w:t>
            </w:r>
            <w:r>
              <w:rPr>
                <w:rFonts w:ascii="Helvetica" w:hAnsi="Helvetica" w:cs="Helvetica"/>
                <w:color w:val="343434"/>
                <w:lang w:val="en-US"/>
              </w:rPr>
              <w:tab/>
            </w:r>
          </w:p>
          <w:p w:rsidR="006F020C" w:rsidRDefault="006F020C" w:rsidP="00D642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6F020C" w:rsidRPr="00FD2C7F" w:rsidRDefault="006F020C" w:rsidP="00D642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Marlise</w:t>
            </w:r>
            <w:proofErr w:type="spellEnd"/>
            <w:r>
              <w:rPr>
                <w:rFonts w:ascii="Helvetica" w:hAnsi="Helvetica" w:cs="Helvetica"/>
                <w:color w:val="34343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43434"/>
                <w:lang w:val="en-US"/>
              </w:rPr>
              <w:t>Mattos</w:t>
            </w:r>
            <w:proofErr w:type="spellEnd"/>
          </w:p>
        </w:tc>
      </w:tr>
      <w:tr w:rsidR="006F020C" w:rsidRPr="00FD2C7F" w:rsidTr="00FD2C7F">
        <w:tc>
          <w:tcPr>
            <w:tcW w:w="1447" w:type="dxa"/>
          </w:tcPr>
          <w:p w:rsidR="006F020C" w:rsidRPr="00FD2C7F" w:rsidRDefault="006F020C" w:rsidP="00FD2C7F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4559" w:type="dxa"/>
          </w:tcPr>
          <w:p w:rsidR="006F020C" w:rsidRDefault="006F020C" w:rsidP="00854576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The 2013-2016 Cycle of Protests</w:t>
            </w:r>
          </w:p>
          <w:p w:rsidR="006F020C" w:rsidRPr="00FD2C7F" w:rsidRDefault="006F020C" w:rsidP="00D642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</w:p>
        </w:tc>
        <w:tc>
          <w:tcPr>
            <w:tcW w:w="3004" w:type="dxa"/>
          </w:tcPr>
          <w:p w:rsidR="006F020C" w:rsidRPr="00FD2C7F" w:rsidRDefault="006F020C" w:rsidP="00D6425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43434"/>
                <w:lang w:val="en-US"/>
              </w:rPr>
            </w:pPr>
            <w:r>
              <w:rPr>
                <w:rFonts w:ascii="Helvetica" w:hAnsi="Helvetica" w:cs="Helvetica"/>
                <w:color w:val="343434"/>
                <w:lang w:val="en-US"/>
              </w:rPr>
              <w:t>Ricardo Mendonça</w:t>
            </w:r>
          </w:p>
        </w:tc>
      </w:tr>
    </w:tbl>
    <w:p w:rsidR="008D3D03" w:rsidRDefault="008D3D03" w:rsidP="002D1A40"/>
    <w:sectPr w:rsidR="008D3D03" w:rsidSect="006A05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6305"/>
    <w:multiLevelType w:val="hybridMultilevel"/>
    <w:tmpl w:val="E976D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1A40"/>
    <w:rsid w:val="001655B0"/>
    <w:rsid w:val="00293610"/>
    <w:rsid w:val="002A1F3F"/>
    <w:rsid w:val="002D1A40"/>
    <w:rsid w:val="0062219B"/>
    <w:rsid w:val="006A05EF"/>
    <w:rsid w:val="006F020C"/>
    <w:rsid w:val="008A101C"/>
    <w:rsid w:val="008D3D03"/>
    <w:rsid w:val="00904466"/>
    <w:rsid w:val="009D4F4B"/>
    <w:rsid w:val="00B05214"/>
    <w:rsid w:val="00B24982"/>
    <w:rsid w:val="00BA42CF"/>
    <w:rsid w:val="00BD4830"/>
    <w:rsid w:val="00DB3EAD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10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DB3EAD"/>
    <w:pPr>
      <w:keepNext/>
      <w:ind w:left="1416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B3EAD"/>
    <w:pPr>
      <w:keepNext/>
      <w:ind w:left="1416"/>
      <w:outlineLvl w:val="4"/>
    </w:pPr>
    <w:rPr>
      <w:rFonts w:ascii="Times New Roman" w:eastAsia="Times New Roman" w:hAnsi="Times New Roman" w:cs="Times New Roman"/>
      <w:b/>
      <w:sz w:val="2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1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2C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3EA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rsid w:val="00DB3EAD"/>
    <w:rPr>
      <w:rFonts w:ascii="Times New Roman" w:eastAsia="Times New Roman" w:hAnsi="Times New Roman" w:cs="Times New Roman"/>
      <w:b/>
      <w:sz w:val="22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30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DB3EAD"/>
    <w:pPr>
      <w:keepNext/>
      <w:ind w:left="1416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B3EAD"/>
    <w:pPr>
      <w:keepNext/>
      <w:ind w:left="1416"/>
      <w:outlineLvl w:val="4"/>
    </w:pPr>
    <w:rPr>
      <w:rFonts w:ascii="Times New Roman" w:eastAsia="Times New Roman" w:hAnsi="Times New Roman" w:cs="Times New Roman"/>
      <w:b/>
      <w:sz w:val="22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2C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3EA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rsid w:val="00DB3EAD"/>
    <w:rPr>
      <w:rFonts w:ascii="Times New Roman" w:eastAsia="Times New Roman" w:hAnsi="Times New Roman" w:cs="Times New Roman"/>
      <w:b/>
      <w:sz w:val="22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30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</vt:lpstr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Fabrino Mendonça</dc:creator>
  <cp:lastModifiedBy>cedecom</cp:lastModifiedBy>
  <cp:revision>2</cp:revision>
  <dcterms:created xsi:type="dcterms:W3CDTF">2016-07-12T17:21:00Z</dcterms:created>
  <dcterms:modified xsi:type="dcterms:W3CDTF">2016-07-12T17:21:00Z</dcterms:modified>
</cp:coreProperties>
</file>