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686" w:rsidRPr="00FB63FA" w:rsidRDefault="005E3686" w:rsidP="005E3686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FB63F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.4 </w:t>
      </w:r>
      <w:r w:rsidR="00B34E90" w:rsidRPr="00FB63FA">
        <w:rPr>
          <w:rFonts w:ascii="Times New Roman" w:hAnsi="Times New Roman" w:cs="Times New Roman"/>
          <w:b/>
          <w:bCs/>
          <w:sz w:val="24"/>
          <w:szCs w:val="24"/>
          <w:lang w:val="pt-BR"/>
        </w:rPr>
        <w:t>- EXTENSÃO</w:t>
      </w:r>
    </w:p>
    <w:p w:rsidR="005E3686" w:rsidRPr="00FB63FA" w:rsidRDefault="005E3686" w:rsidP="005E3686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5E3686" w:rsidRPr="00FB63FA" w:rsidRDefault="005E3686" w:rsidP="005E3686">
      <w:pPr>
        <w:pStyle w:val="Corpo"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FB63FA">
        <w:rPr>
          <w:rFonts w:ascii="Times New Roman" w:hAnsi="Times New Roman" w:cs="Times New Roman"/>
          <w:b/>
          <w:bCs/>
          <w:sz w:val="24"/>
          <w:szCs w:val="24"/>
          <w:lang w:val="pt-BR"/>
        </w:rPr>
        <w:t>Contexto</w:t>
      </w:r>
    </w:p>
    <w:p w:rsidR="005E3686" w:rsidRPr="00FB63FA" w:rsidRDefault="005E3686" w:rsidP="005E3686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</w:pPr>
      <w:r w:rsidRPr="00FB63FA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FB63FA">
        <w:rPr>
          <w:rFonts w:ascii="Times New Roman" w:hAnsi="Times New Roman" w:cs="Times New Roman"/>
          <w:sz w:val="24"/>
          <w:szCs w:val="24"/>
          <w:lang w:val="pt-BR"/>
        </w:rPr>
        <w:t xml:space="preserve">A Extensão Universitária, sob o princípio constitucional da </w:t>
      </w:r>
      <w:proofErr w:type="spellStart"/>
      <w:r w:rsidRPr="00FB63FA">
        <w:rPr>
          <w:rFonts w:ascii="Times New Roman" w:hAnsi="Times New Roman" w:cs="Times New Roman"/>
          <w:sz w:val="24"/>
          <w:szCs w:val="24"/>
          <w:lang w:val="pt-BR"/>
        </w:rPr>
        <w:t>indissociabilidade</w:t>
      </w:r>
      <w:proofErr w:type="spellEnd"/>
      <w:r w:rsidRPr="00FB63FA">
        <w:rPr>
          <w:rFonts w:ascii="Times New Roman" w:hAnsi="Times New Roman" w:cs="Times New Roman"/>
          <w:sz w:val="24"/>
          <w:szCs w:val="24"/>
          <w:lang w:val="pt-BR"/>
        </w:rPr>
        <w:t xml:space="preserve"> entre ensino, pesquisa e extensão, é um processo interdisciplinar, educativo, cultural, científico e político que promove a interação dialógica e transformadora entre universidade e outros setores da sociedade. C</w:t>
      </w: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onsiste numa ação </w:t>
      </w:r>
      <w:r w:rsidR="00700504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acadêmica e </w:t>
      </w: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política, cujo compromisso deliberado é o estreitamento de vínculos com a sociedade </w:t>
      </w:r>
      <w:r w:rsidRPr="00FB63FA">
        <w:rPr>
          <w:rFonts w:ascii="Times New Roman" w:eastAsia="Cambria" w:hAnsi="Times New Roman" w:cs="Times New Roman"/>
          <w:sz w:val="24"/>
          <w:szCs w:val="24"/>
          <w:lang w:val="pt-BR"/>
        </w:rPr>
        <w:t>para que a universidade cumpra sua função pública e sustente sua relevância social</w:t>
      </w: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. Essa forma de atuar tem por finalidade aprofundar as ações de democratização dos saberes científico, artístico e tecnológico, levando o conhecimento acadêmico ao encontro dos anseios </w:t>
      </w:r>
      <w:r w:rsidRPr="00FB63FA">
        <w:rPr>
          <w:rFonts w:ascii="Times New Roman" w:hAnsi="Times New Roman" w:cs="Times New Roman"/>
          <w:sz w:val="24"/>
          <w:szCs w:val="24"/>
          <w:lang w:val="pt-BR"/>
        </w:rPr>
        <w:t xml:space="preserve">e interesses </w:t>
      </w: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da sociedade e, ao mesmo tempo, aprendendo com ela, afim de produzir novos conhecimentos e qualificar a formação discente. Nesse sentido, ela constrói-se com base em ações que apoiem o desenvolvimento econômico, social, cultural e político, nos diferentes âmbitos e espaços, e assume papel de importância destacada </w:t>
      </w:r>
      <w:r w:rsidR="00700504">
        <w:rPr>
          <w:rFonts w:ascii="Times New Roman" w:hAnsi="Times New Roman" w:cs="Times New Roman"/>
          <w:sz w:val="24"/>
          <w:szCs w:val="24"/>
          <w:u w:color="231F20"/>
          <w:lang w:val="pt-BR"/>
        </w:rPr>
        <w:t>no enfrentamento às</w:t>
      </w: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diferentes facetas da </w:t>
      </w:r>
      <w:r w:rsidR="00700504">
        <w:rPr>
          <w:rFonts w:ascii="Times New Roman" w:hAnsi="Times New Roman" w:cs="Times New Roman"/>
          <w:sz w:val="24"/>
          <w:szCs w:val="24"/>
          <w:u w:color="231F20"/>
          <w:lang w:val="pt-BR"/>
        </w:rPr>
        <w:t>desigualdade</w:t>
      </w:r>
      <w:r w:rsidR="00700504"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</w:t>
      </w: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>social e da degradação ambiental.</w:t>
      </w:r>
    </w:p>
    <w:p w:rsidR="005E3686" w:rsidRPr="00FB63FA" w:rsidRDefault="005E3686" w:rsidP="005E3686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</w:pPr>
      <w:r w:rsidRPr="00FB63FA"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  <w:tab/>
      </w:r>
      <w:r w:rsidRPr="00FB63FA">
        <w:rPr>
          <w:rFonts w:ascii="Times New Roman" w:hAnsi="Times New Roman" w:cs="Times New Roman"/>
          <w:sz w:val="24"/>
          <w:szCs w:val="24"/>
          <w:lang w:val="pt-BR"/>
        </w:rPr>
        <w:t xml:space="preserve">A Extensão cumpre papel de relevo na consolidação de um dos princípios institucionais da UFMG, especificamente, o de interação continuada com a sociedade. O Estatuto da UFMG situa a Extensão universitária, junto com a Pesquisa e o Ensino, como instância formativa essencial, orientada para o favorecimento das condições de produção do conhecimento e a formação de profissionais capazes de atuação academicamente inovadora e socialmente comprometida com os valores de desenvolvimento social e humano. </w:t>
      </w: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A Extensão também é responsável pela promoção e qualificação dos processos de comunicação da universidade, pautado pelo permanente diálogo entre a comunidade interna e externa à Instituição e, para isso, conta com uma ampla participação dos diferentes setores institucionais. Com esses objetivos articula programas, projetos, cursos, eventos e prestações de serviço, que promovem relações interdisciplinares e </w:t>
      </w:r>
      <w:proofErr w:type="spellStart"/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>interprofissionais</w:t>
      </w:r>
      <w:proofErr w:type="spellEnd"/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>.</w:t>
      </w:r>
    </w:p>
    <w:p w:rsidR="005E3686" w:rsidRPr="00FB63FA" w:rsidRDefault="005E3686" w:rsidP="005E3686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B63FA"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  <w:tab/>
      </w: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Na UFMG, a </w:t>
      </w:r>
      <w:proofErr w:type="spellStart"/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>Pró-Reitoria</w:t>
      </w:r>
      <w:proofErr w:type="spellEnd"/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de Extensão (</w:t>
      </w:r>
      <w:r w:rsidR="00B34E90">
        <w:rPr>
          <w:rFonts w:ascii="Times New Roman" w:hAnsi="Times New Roman" w:cs="Times New Roman"/>
          <w:sz w:val="24"/>
          <w:szCs w:val="24"/>
          <w:lang w:val="pt-BR"/>
        </w:rPr>
        <w:t>Proex</w:t>
      </w:r>
      <w:r w:rsidRPr="00FB63FA">
        <w:rPr>
          <w:rFonts w:ascii="Times New Roman" w:hAnsi="Times New Roman" w:cs="Times New Roman"/>
          <w:sz w:val="24"/>
          <w:szCs w:val="24"/>
          <w:lang w:val="pt-BR"/>
        </w:rPr>
        <w:t xml:space="preserve">) compartilha a coordenação das atividades de extensão da UFMG com </w:t>
      </w:r>
      <w:r w:rsidRPr="00FB63FA">
        <w:rPr>
          <w:rFonts w:ascii="Times New Roman" w:hAnsi="Times New Roman" w:cs="Times New Roman"/>
          <w:color w:val="auto"/>
          <w:sz w:val="24"/>
          <w:szCs w:val="24"/>
          <w:lang w:val="pt-BR"/>
        </w:rPr>
        <w:t>26 C</w:t>
      </w:r>
      <w:r w:rsidRPr="00FB63FA">
        <w:rPr>
          <w:rFonts w:ascii="Times New Roman" w:hAnsi="Times New Roman" w:cs="Times New Roman"/>
          <w:sz w:val="24"/>
          <w:szCs w:val="24"/>
          <w:lang w:val="pt-BR"/>
        </w:rPr>
        <w:t>entros de Extensão, destes 23 vinculados a Unidades Acadêmicas ou Unidades Especiais da Universidade. Cabe à P</w:t>
      </w:r>
      <w:r w:rsidR="00B34E90">
        <w:rPr>
          <w:rFonts w:ascii="Times New Roman" w:hAnsi="Times New Roman" w:cs="Times New Roman"/>
          <w:sz w:val="24"/>
          <w:szCs w:val="24"/>
          <w:lang w:val="pt-BR"/>
        </w:rPr>
        <w:t>roex</w:t>
      </w:r>
      <w:r w:rsidRPr="00FB63FA">
        <w:rPr>
          <w:rFonts w:ascii="Times New Roman" w:hAnsi="Times New Roman" w:cs="Times New Roman"/>
          <w:sz w:val="24"/>
          <w:szCs w:val="24"/>
          <w:lang w:val="pt-BR"/>
        </w:rPr>
        <w:t xml:space="preserve"> fomentar, acompanhar, avaliar, articular, divulgar e, por vezes, coordenar as ações de extensão da Universidade. Cabe a ela também representar a UFMG nos entendimentos com os mais diferentes parceiros nessas atividades: órgãos públicos, como governos federal, estaduais </w:t>
      </w:r>
      <w:r w:rsidRPr="00FB63FA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e municipais; organizações não-governamentais e da sociedade civil, movimentos sociais, bem como instituições privadas. </w:t>
      </w: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As ações de Extensão organizam-se em áreas temáticas: </w:t>
      </w:r>
      <w:r w:rsidRPr="00FB63FA">
        <w:rPr>
          <w:rFonts w:ascii="Times New Roman" w:hAnsi="Times New Roman" w:cs="Times New Roman"/>
          <w:sz w:val="24"/>
          <w:szCs w:val="24"/>
          <w:lang w:val="pt-BR"/>
        </w:rPr>
        <w:t xml:space="preserve">saúde, educação, trabalho, meio ambiente, comunicação, direitos humanos e justiça, tecnologia de produção e cultura. </w:t>
      </w:r>
      <w:r w:rsidR="0083553C">
        <w:rPr>
          <w:rFonts w:ascii="Times New Roman" w:hAnsi="Times New Roman" w:cs="Times New Roman"/>
          <w:sz w:val="24"/>
          <w:szCs w:val="24"/>
          <w:lang w:val="pt-BR"/>
        </w:rPr>
        <w:t xml:space="preserve">A Rede de Museus e Espaços de Ciência e Cultura da UFMG e a Estação Ecológica estão vinculadas à Pró-reitoria de Extensão e são setores estratégicos no diálogo com a educação básica e no desenvolvimento de atividades de extensão, ensino e pesquisa na área do meio ambiente. </w:t>
      </w:r>
      <w:r w:rsidR="00FC2CC8">
        <w:rPr>
          <w:rFonts w:ascii="Times New Roman" w:hAnsi="Times New Roman" w:cs="Times New Roman"/>
          <w:sz w:val="24"/>
          <w:szCs w:val="24"/>
          <w:lang w:val="pt-BR"/>
        </w:rPr>
        <w:t xml:space="preserve">A Interfaces – Revista de Extensão da UFMG e o Centro Virtual de Memória da Extensão são ações também </w:t>
      </w:r>
      <w:r w:rsidR="00B34E90">
        <w:rPr>
          <w:rFonts w:ascii="Times New Roman" w:hAnsi="Times New Roman" w:cs="Times New Roman"/>
          <w:sz w:val="24"/>
          <w:szCs w:val="24"/>
          <w:lang w:val="pt-BR"/>
        </w:rPr>
        <w:t xml:space="preserve">desenvolvidas no âmbito da </w:t>
      </w:r>
      <w:proofErr w:type="spellStart"/>
      <w:r w:rsidR="00B34E90">
        <w:rPr>
          <w:rFonts w:ascii="Times New Roman" w:hAnsi="Times New Roman" w:cs="Times New Roman"/>
          <w:sz w:val="24"/>
          <w:szCs w:val="24"/>
          <w:lang w:val="pt-BR"/>
        </w:rPr>
        <w:t>Pró-R</w:t>
      </w:r>
      <w:r w:rsidR="00FC2CC8">
        <w:rPr>
          <w:rFonts w:ascii="Times New Roman" w:hAnsi="Times New Roman" w:cs="Times New Roman"/>
          <w:sz w:val="24"/>
          <w:szCs w:val="24"/>
          <w:lang w:val="pt-BR"/>
        </w:rPr>
        <w:t>eitoria</w:t>
      </w:r>
      <w:proofErr w:type="spellEnd"/>
      <w:r w:rsidR="00FC2CC8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B34E90">
        <w:rPr>
          <w:rFonts w:ascii="Times New Roman" w:hAnsi="Times New Roman" w:cs="Times New Roman"/>
          <w:sz w:val="24"/>
          <w:szCs w:val="24"/>
          <w:lang w:val="pt-BR"/>
        </w:rPr>
        <w:t>Extensão.</w:t>
      </w:r>
      <w:r w:rsidR="00FC2CC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5E3686" w:rsidRPr="00FB63FA" w:rsidRDefault="005E3686" w:rsidP="005E3686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B63FA">
        <w:rPr>
          <w:rFonts w:ascii="Times New Roman" w:hAnsi="Times New Roman" w:cs="Times New Roman"/>
          <w:sz w:val="24"/>
          <w:szCs w:val="24"/>
          <w:lang w:val="pt-BR"/>
        </w:rPr>
        <w:tab/>
        <w:t xml:space="preserve">Com vistas a materializar o </w:t>
      </w:r>
      <w:r w:rsidR="00700504" w:rsidRPr="00FB63FA">
        <w:rPr>
          <w:rFonts w:ascii="Times New Roman" w:hAnsi="Times New Roman" w:cs="Times New Roman"/>
          <w:sz w:val="24"/>
          <w:szCs w:val="24"/>
          <w:lang w:val="pt-BR"/>
        </w:rPr>
        <w:t>preceito</w:t>
      </w:r>
      <w:r w:rsidRPr="00FB63FA">
        <w:rPr>
          <w:rFonts w:ascii="Times New Roman" w:hAnsi="Times New Roman" w:cs="Times New Roman"/>
          <w:sz w:val="24"/>
          <w:szCs w:val="24"/>
          <w:lang w:val="pt-BR"/>
        </w:rPr>
        <w:t xml:space="preserve"> d</w:t>
      </w:r>
      <w:r w:rsidR="00700504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FB63F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FB63FA">
        <w:rPr>
          <w:rFonts w:ascii="Times New Roman" w:hAnsi="Times New Roman" w:cs="Times New Roman"/>
          <w:sz w:val="24"/>
          <w:szCs w:val="24"/>
          <w:lang w:val="pt-BR"/>
        </w:rPr>
        <w:t>indissociabilidade</w:t>
      </w:r>
      <w:proofErr w:type="spellEnd"/>
      <w:r w:rsidRPr="00FB63FA">
        <w:rPr>
          <w:rFonts w:ascii="Times New Roman" w:hAnsi="Times New Roman" w:cs="Times New Roman"/>
          <w:sz w:val="24"/>
          <w:szCs w:val="24"/>
          <w:lang w:val="pt-BR"/>
        </w:rPr>
        <w:t xml:space="preserve"> da extensão ao ensino e a pesquisa na universidade a P</w:t>
      </w:r>
      <w:r w:rsidR="00B34E90">
        <w:rPr>
          <w:rFonts w:ascii="Times New Roman" w:hAnsi="Times New Roman" w:cs="Times New Roman"/>
          <w:sz w:val="24"/>
          <w:szCs w:val="24"/>
          <w:lang w:val="pt-BR"/>
        </w:rPr>
        <w:t>roex</w:t>
      </w:r>
      <w:r w:rsidRPr="00FB63FA">
        <w:rPr>
          <w:rFonts w:ascii="Times New Roman" w:hAnsi="Times New Roman" w:cs="Times New Roman"/>
          <w:sz w:val="24"/>
          <w:szCs w:val="24"/>
          <w:lang w:val="pt-BR"/>
        </w:rPr>
        <w:t xml:space="preserve"> desenvolveu ao longo dos anos aç</w:t>
      </w:r>
      <w:r w:rsidR="00B34E90">
        <w:rPr>
          <w:rFonts w:ascii="Times New Roman" w:hAnsi="Times New Roman" w:cs="Times New Roman"/>
          <w:sz w:val="24"/>
          <w:szCs w:val="24"/>
          <w:lang w:val="pt-BR"/>
        </w:rPr>
        <w:t xml:space="preserve">ões em parcerias com as outras </w:t>
      </w:r>
      <w:proofErr w:type="spellStart"/>
      <w:r w:rsidR="00B34E90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FB63FA">
        <w:rPr>
          <w:rFonts w:ascii="Times New Roman" w:hAnsi="Times New Roman" w:cs="Times New Roman"/>
          <w:sz w:val="24"/>
          <w:szCs w:val="24"/>
          <w:lang w:val="pt-BR"/>
        </w:rPr>
        <w:t>ró-reitorias</w:t>
      </w:r>
      <w:proofErr w:type="spellEnd"/>
      <w:r w:rsidRPr="00FB63FA">
        <w:rPr>
          <w:rFonts w:ascii="Times New Roman" w:hAnsi="Times New Roman" w:cs="Times New Roman"/>
          <w:sz w:val="24"/>
          <w:szCs w:val="24"/>
          <w:lang w:val="pt-BR"/>
        </w:rPr>
        <w:t xml:space="preserve"> acadêmicas. Muitas destas se desdobraram na criação de editais específicos de fomento</w:t>
      </w:r>
      <w:r w:rsidR="00700504">
        <w:rPr>
          <w:rFonts w:ascii="Times New Roman" w:hAnsi="Times New Roman" w:cs="Times New Roman"/>
          <w:sz w:val="24"/>
          <w:szCs w:val="24"/>
          <w:lang w:val="pt-BR"/>
        </w:rPr>
        <w:t xml:space="preserve">, eventos acadêmicos e </w:t>
      </w:r>
      <w:r w:rsidR="00C43F71">
        <w:rPr>
          <w:rFonts w:ascii="Times New Roman" w:hAnsi="Times New Roman" w:cs="Times New Roman"/>
          <w:sz w:val="24"/>
          <w:szCs w:val="24"/>
          <w:lang w:val="pt-BR"/>
        </w:rPr>
        <w:t>unificação</w:t>
      </w:r>
      <w:r w:rsidR="00700504">
        <w:rPr>
          <w:rFonts w:ascii="Times New Roman" w:hAnsi="Times New Roman" w:cs="Times New Roman"/>
          <w:sz w:val="24"/>
          <w:szCs w:val="24"/>
          <w:lang w:val="pt-BR"/>
        </w:rPr>
        <w:t xml:space="preserve"> de processos de gestão</w:t>
      </w:r>
    </w:p>
    <w:p w:rsidR="005E3686" w:rsidRPr="00FB63FA" w:rsidRDefault="005E3686" w:rsidP="005E3686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</w:pPr>
      <w:r w:rsidRPr="00FB63FA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FB63FA">
        <w:rPr>
          <w:rFonts w:ascii="Times New Roman" w:hAnsi="Times New Roman" w:cs="Times New Roman"/>
          <w:sz w:val="24"/>
          <w:szCs w:val="24"/>
          <w:lang w:val="pt-BR"/>
        </w:rPr>
        <w:t>A P</w:t>
      </w:r>
      <w:r w:rsidR="00B34E90">
        <w:rPr>
          <w:rFonts w:ascii="Times New Roman" w:hAnsi="Times New Roman" w:cs="Times New Roman"/>
          <w:sz w:val="24"/>
          <w:szCs w:val="24"/>
          <w:lang w:val="pt-BR"/>
        </w:rPr>
        <w:t>roex</w:t>
      </w:r>
      <w:r w:rsidRPr="00FB63FA">
        <w:rPr>
          <w:rFonts w:ascii="Times New Roman" w:hAnsi="Times New Roman" w:cs="Times New Roman"/>
          <w:sz w:val="24"/>
          <w:szCs w:val="24"/>
          <w:lang w:val="pt-BR"/>
        </w:rPr>
        <w:t xml:space="preserve"> em parceria com a Pró-Reitoria de Graduação tem implementado ações para atender as metas do Plano Nacional de Educação (2014-2024) e ampliar</w:t>
      </w:r>
      <w:r w:rsidR="0070050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>a inserção</w:t>
      </w:r>
      <w:r w:rsidRPr="00FB63FA">
        <w:rPr>
          <w:rFonts w:ascii="Times New Roman" w:hAnsi="Times New Roman" w:cs="Times New Roman"/>
          <w:sz w:val="24"/>
          <w:szCs w:val="24"/>
          <w:lang w:val="pt-BR"/>
        </w:rPr>
        <w:t xml:space="preserve"> das atividades de extensão nos currículos dos cursos de graduação. A </w:t>
      </w: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>Formação em Extensão Universitária é uma das iniciativas para a integralização de créditos em cursos de graduação, mediante participação dos estudantes em atividades que integram programas ou projetos de extensão.</w:t>
      </w:r>
    </w:p>
    <w:p w:rsidR="005E3686" w:rsidRPr="00FB63FA" w:rsidRDefault="005E3686" w:rsidP="005E3686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B63FA">
        <w:rPr>
          <w:rFonts w:ascii="Times New Roman" w:eastAsia="Times New Roman" w:hAnsi="Times New Roman" w:cs="Times New Roman"/>
          <w:noProof/>
          <w:sz w:val="24"/>
          <w:szCs w:val="24"/>
          <w:u w:color="231F20"/>
          <w:lang w:val="pt-BR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51F68D72" wp14:editId="7A9D26FA">
                <wp:simplePos x="0" y="0"/>
                <wp:positionH relativeFrom="page">
                  <wp:posOffset>1270</wp:posOffset>
                </wp:positionH>
                <wp:positionV relativeFrom="page">
                  <wp:posOffset>10345420</wp:posOffset>
                </wp:positionV>
                <wp:extent cx="1905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63DC4" id="Line 3" o:spid="_x0000_s1026" style="position:absolute;z-index:251659264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" from=".1pt,814.6pt" to="15.1pt,8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" strokeweight=".2pt">
                <o:lock v:ext="edit" shapetype="f"/>
                <w10:wrap anchorx="page" anchory="page"/>
              </v:line>
            </w:pict>
          </mc:Fallback>
        </mc:AlternateContent>
      </w:r>
      <w:r w:rsidRPr="00FB63FA">
        <w:rPr>
          <w:rFonts w:ascii="Times New Roman" w:eastAsia="Times New Roman" w:hAnsi="Times New Roman" w:cs="Times New Roman"/>
          <w:noProof/>
          <w:sz w:val="24"/>
          <w:szCs w:val="24"/>
          <w:u w:color="231F20"/>
          <w:lang w:val="pt-BR"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79ED397B" wp14:editId="1CC31CD8">
                <wp:simplePos x="0" y="0"/>
                <wp:positionH relativeFrom="page">
                  <wp:posOffset>7904480</wp:posOffset>
                </wp:positionH>
                <wp:positionV relativeFrom="page">
                  <wp:posOffset>10345420</wp:posOffset>
                </wp:positionV>
                <wp:extent cx="1905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6F8C2" id="Line 4" o:spid="_x0000_s1026" style="position:absolute;z-index:25166028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" from="622.4pt,814.6pt" to="637.4pt,8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" strokeweight=".2pt">
                <o:lock v:ext="edit" shapetype="f"/>
                <w10:wrap anchorx="page" anchory="page"/>
              </v:line>
            </w:pict>
          </mc:Fallback>
        </mc:AlternateContent>
      </w:r>
      <w:r w:rsidRPr="00FB63FA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A Resolu</w:t>
      </w:r>
      <w:r w:rsidRPr="00FB63FA">
        <w:rPr>
          <w:rFonts w:ascii="Times New Roman" w:hAnsi="Times New Roman" w:cs="Times New Roman"/>
          <w:sz w:val="24"/>
          <w:szCs w:val="24"/>
          <w:lang w:val="pt-BR"/>
        </w:rPr>
        <w:t>ção do CEPE nº03/2016, de 17 de maio de 2016 regulamentou a proposição, a aprovação, a</w:t>
      </w:r>
      <w:r w:rsidR="0070050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B63FA">
        <w:rPr>
          <w:rFonts w:ascii="Times New Roman" w:hAnsi="Times New Roman" w:cs="Times New Roman"/>
          <w:sz w:val="24"/>
          <w:szCs w:val="24"/>
          <w:lang w:val="pt-BR"/>
        </w:rPr>
        <w:t>certificação e o funcionamento das ações de extensão universitária. As ações de extensão devem contemplar as diretrizes estabelecidas pela Política Nacional de Extensão Universitária e são realizadas sob as formas de programa, projeto, curso, evento e prestação de serviços, conforme às seguintes definições:</w:t>
      </w:r>
    </w:p>
    <w:p w:rsidR="005E3686" w:rsidRPr="00FB63FA" w:rsidRDefault="005E3686" w:rsidP="005E3686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</w:pP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 xml:space="preserve">I - Programa: conjunto articulado de pelo menos dois projetos e outras ações de </w:t>
      </w:r>
      <w:r w:rsidR="00B34E90"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>extensão (</w:t>
      </w: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>cursos, eventos, prestação de serviços), desenvolvido de forma processual e contínua e que deve explicitar, necessariamente, a metodologia de articulação das diversas ações vinculadas.</w:t>
      </w:r>
    </w:p>
    <w:p w:rsidR="005E3686" w:rsidRPr="00FB63FA" w:rsidRDefault="005E3686" w:rsidP="005E3686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</w:pP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>II - Projeto: ação com objetivo focalizado, com tempo determinado, podendo abranger, de forma vinculada, cursos, eventos e prestação de serviços. O projeto pode ser vinculado a um programa.</w:t>
      </w:r>
    </w:p>
    <w:p w:rsidR="005E3686" w:rsidRPr="00FB63FA" w:rsidRDefault="005E3686" w:rsidP="005E3686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</w:pP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 xml:space="preserve">III - Curso: ação pedagógica de caráter teórico ou prático, presencial ou à distância, planejada e organizada de modo sistemático, com carga horária mínima de 08 horas, critérios de avaliação definidos e certificação, nos termos da </w:t>
      </w: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lastRenderedPageBreak/>
        <w:t xml:space="preserve">Resolução nº 03/2016, de 12 de abril de </w:t>
      </w:r>
      <w:r w:rsidR="00B34E90"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>2016, do</w:t>
      </w: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 xml:space="preserve"> CEPE.</w:t>
      </w:r>
    </w:p>
    <w:p w:rsidR="005E3686" w:rsidRPr="00FB63FA" w:rsidRDefault="005E3686" w:rsidP="005E3686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</w:pP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>IV - Evento: ação que implica na apresentação ou exibição pública, livre ou com clientela específica, do conhecimento ou produto cultural, artístico, esportivo, científico/acadêmico ou tecnológico desenvolvido ou reconhecido pela universidade.</w:t>
      </w:r>
    </w:p>
    <w:p w:rsidR="005E3686" w:rsidRPr="00FB63FA" w:rsidRDefault="005E3686" w:rsidP="005E3686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</w:pP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>V - Prestação de serviços: constitui-se como o estudo e solução de problemas dos meios profissional ou social, como o desenvolvimento de novas abordagens pedagógicas e de pesquisa e como a transferência de conhecimentos ou de tecnologia à sociedade, realizados pelos servidores docentes ou técnicos-administrativos em educação, com a participação orientada de discentes, e comprometida com o projeto político acadêmico da universidade.</w:t>
      </w:r>
    </w:p>
    <w:p w:rsidR="005E3686" w:rsidRPr="00FB63FA" w:rsidRDefault="005E3686" w:rsidP="005E3686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</w:pPr>
      <w:r w:rsidRPr="00FB63FA"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  <w:tab/>
      </w: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>As ações de extensão podem ser propostas e coordenadas por servidores docentes ou técnico-administrativos em educação com nível superior, ambos em efetivo exercício no quadro da UFMG.</w:t>
      </w:r>
      <w:r w:rsidR="00B34E90">
        <w:rPr>
          <w:rFonts w:ascii="Times New Roman" w:hAnsi="Times New Roman" w:cs="Times New Roman"/>
          <w:sz w:val="24"/>
          <w:szCs w:val="24"/>
          <w:u w:color="000000"/>
          <w:lang w:val="pt-BR"/>
        </w:rPr>
        <w:t xml:space="preserve"> </w:t>
      </w: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>A ação de extensão deve ser registrada no Sistema de Informação da Ext</w:t>
      </w:r>
      <w:r w:rsidR="00B34E90">
        <w:rPr>
          <w:rFonts w:ascii="Times New Roman" w:hAnsi="Times New Roman" w:cs="Times New Roman"/>
          <w:sz w:val="24"/>
          <w:szCs w:val="24"/>
          <w:u w:color="000000"/>
          <w:lang w:val="pt-BR"/>
        </w:rPr>
        <w:t>ensão da UFMG (</w:t>
      </w:r>
      <w:proofErr w:type="spellStart"/>
      <w:r w:rsidR="00B34E90">
        <w:rPr>
          <w:rFonts w:ascii="Times New Roman" w:hAnsi="Times New Roman" w:cs="Times New Roman"/>
          <w:sz w:val="24"/>
          <w:szCs w:val="24"/>
          <w:u w:color="000000"/>
          <w:lang w:val="pt-BR"/>
        </w:rPr>
        <w:t>Siex</w:t>
      </w:r>
      <w:proofErr w:type="spellEnd"/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 xml:space="preserve">/UFMG) pelo seu coordenador. A orientação dos discentes participantes da ação de extensão deve estar a cargo de docentes, seja ele o coordenador ou outro docente membro da equipe. O orientador é o responsável pelo acompanhamento pedagógico e pela avaliação do desempenho do estudante. A equipe executora da ação deve ser composta por, no mínimo, dois terços de pessoas vinculadas à UFMG e pode contar também com colaboradores externos à UFMG, nos termos da Lei nº 9.608, de 18 de fevereiro de 1998.A seleção do discente ou do voluntário para participar da ação de extensão é de responsabilidade da coordenação dessa ação, obedecendo-se, no caso de seleção de discentes, as normas acadêmicas da UFMG.O discente participante de ações de extensão pode receber bolsa de diversas fontes, deste o Programa de Bolsas de Extensão, remunerado por recursos orçamentários da UFMG,  outros editais de fomento interno da UFMG até a possibilidade de projetos que prevejam arrecadação e que disponibilizem bolsas para os estudantes. </w:t>
      </w:r>
      <w:r w:rsidR="00700504">
        <w:rPr>
          <w:rFonts w:ascii="Times New Roman" w:hAnsi="Times New Roman" w:cs="Times New Roman"/>
          <w:sz w:val="24"/>
          <w:szCs w:val="24"/>
          <w:u w:color="000000"/>
          <w:lang w:val="pt-BR"/>
        </w:rPr>
        <w:t>Os</w:t>
      </w: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 xml:space="preserve"> discentes vinculados às ações de extensão também podem se inserir como voluntários. </w:t>
      </w:r>
      <w:r w:rsidR="00B34E90"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>Os estudantes têm</w:t>
      </w: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 xml:space="preserve"> sua </w:t>
      </w:r>
      <w:r w:rsidR="00700504"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>participação</w:t>
      </w: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 xml:space="preserve"> em ações de extensão </w:t>
      </w:r>
      <w:r w:rsidR="00403949">
        <w:rPr>
          <w:rFonts w:ascii="Times New Roman" w:hAnsi="Times New Roman" w:cs="Times New Roman"/>
          <w:sz w:val="24"/>
          <w:szCs w:val="24"/>
          <w:u w:color="000000"/>
          <w:lang w:val="pt-BR"/>
        </w:rPr>
        <w:t xml:space="preserve">certificada </w:t>
      </w: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>por meio do Sistema de Fomento da Extensão ou pelo Centro de Extensão, da unidade em que a ação é registrada.</w:t>
      </w:r>
    </w:p>
    <w:p w:rsidR="005E3686" w:rsidRPr="00FB63FA" w:rsidRDefault="005E3686" w:rsidP="005E3686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</w:pPr>
      <w:r w:rsidRPr="00FB63FA"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  <w:tab/>
      </w: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>O Sistema de Fomento da Pró-Reitoria de Extensão, na UFMG, atualmente compreende os seguintes editais:</w:t>
      </w:r>
    </w:p>
    <w:p w:rsidR="005E3686" w:rsidRPr="00FB63FA" w:rsidRDefault="005E3686" w:rsidP="005E3686">
      <w:pPr>
        <w:pStyle w:val="Corp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</w:pP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lastRenderedPageBreak/>
        <w:t>Bolsas para Programas e Projetos de Extensão (</w:t>
      </w:r>
      <w:proofErr w:type="spellStart"/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>Pbext</w:t>
      </w:r>
      <w:proofErr w:type="spellEnd"/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): visa, por meio da concessão de bolsas acadêmicas, estimular a participação dos discentes nos programas/projetos de extensão, buscando contribuir para a sua formação acadêmica e estimular o seu espírito crítico, bem como sua atuação profissional pautada na cidadania e na função social da educação superior. Destinado a estudantes que atuam em ações de extensão universitária, o </w:t>
      </w:r>
      <w:proofErr w:type="spellStart"/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>Pbext</w:t>
      </w:r>
      <w:proofErr w:type="spellEnd"/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oferece bolsas a graduandos de todos os cursos da UFMG.</w:t>
      </w:r>
      <w:r w:rsidR="00700504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</w:t>
      </w: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Oferece duas modalidades: </w:t>
      </w:r>
      <w:proofErr w:type="spellStart"/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>Pbext</w:t>
      </w:r>
      <w:proofErr w:type="spellEnd"/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, destinada a estudantes de graduação participantes de programas e projetos de extensão, e </w:t>
      </w:r>
      <w:proofErr w:type="spellStart"/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>Pbext</w:t>
      </w:r>
      <w:proofErr w:type="spellEnd"/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Ação Afirmativa, exclusiva para alunos classificados socioeconomicamente nos níveis I a III pela Fundação Universitária Mendes Pimentel e/ou discentes que ingressaram na UFMG pelo sistema de cotas.</w:t>
      </w:r>
    </w:p>
    <w:p w:rsidR="005E3686" w:rsidRPr="00FB63FA" w:rsidRDefault="005E3686" w:rsidP="005E3686">
      <w:pPr>
        <w:pStyle w:val="Corp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</w:pP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>Programas e Projetos de Formação em Extensão Universitária: tem o objetivo de estimular a elaboração de projetos que ampliem a inserção da formação em extensão universitária nos currículos de graduação. Além de bolsas para estudantes de graduação, os colegiados proponentes podem pleitear verba de custeio para apoio a atividades relacionadas ao módulo de formação em extensão.</w:t>
      </w:r>
    </w:p>
    <w:p w:rsidR="005E3686" w:rsidRPr="00FB63FA" w:rsidRDefault="005E3686" w:rsidP="005E3686">
      <w:pPr>
        <w:pStyle w:val="Corp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</w:pP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>Programa de Apoio Integrado a Eventos (</w:t>
      </w:r>
      <w:proofErr w:type="spellStart"/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>Paie</w:t>
      </w:r>
      <w:proofErr w:type="spellEnd"/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): é mantido pelas </w:t>
      </w:r>
      <w:proofErr w:type="spellStart"/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>pró-reitorias</w:t>
      </w:r>
      <w:proofErr w:type="spellEnd"/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de Graduação, Extensão, Pesquisa e Pós-graduação e tem o objetivo de fomentar a realização de eventos acadêmicos em que ensino, extensão e pesquisa sejam indissociáveis.</w:t>
      </w:r>
    </w:p>
    <w:p w:rsidR="005E3686" w:rsidRPr="00FB63FA" w:rsidRDefault="005E3686" w:rsidP="005E3686">
      <w:pPr>
        <w:pStyle w:val="Corp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</w:pP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>Programa Participa</w:t>
      </w:r>
      <w:r w:rsidR="00700504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UFMG</w:t>
      </w: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: mantido em parceria pelos </w:t>
      </w:r>
      <w:proofErr w:type="spellStart"/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>pró-reitorias</w:t>
      </w:r>
      <w:proofErr w:type="spellEnd"/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de extensão e </w:t>
      </w:r>
      <w:r w:rsidR="00B34E90"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>pós-graduação</w:t>
      </w: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tem o objetivo de apoiar a realização de ações de extensão em interface a pesquisa que vincule a participação de estudantes de graduação e pós-graduação da UFMG. </w:t>
      </w:r>
    </w:p>
    <w:p w:rsidR="005E3686" w:rsidRPr="00FB63FA" w:rsidRDefault="005E3686" w:rsidP="005E3686">
      <w:pPr>
        <w:pStyle w:val="Corpo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</w:pPr>
      <w:r w:rsidRPr="00FB63FA"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  <w:t xml:space="preserve">Neste aspecto é importante mencionar que o sistema também foi utilizado para a submissão de propostas de participação na </w:t>
      </w:r>
      <w:r w:rsidRPr="00420FCB"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  <w:t>chamada 01/2018 de professor visitante, para</w:t>
      </w:r>
      <w:r w:rsidRPr="00FB63FA"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  <w:t xml:space="preserve"> propostas que pleiteavam a inserção de professores visitantes em programas de extensão universitária. </w:t>
      </w:r>
      <w:r w:rsidR="00700504"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  <w:t xml:space="preserve">Destaca-se também o Edital do </w:t>
      </w:r>
      <w:r w:rsidR="00700504" w:rsidRPr="00700504"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  <w:t>Programa Institucional de Bolsas de Iniciação Científica para a Rede de Museus e Espaços de Ciência e Cultura da UFMG</w:t>
      </w:r>
      <w:r w:rsidR="00700504"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  <w:t xml:space="preserve"> que é uma parceria com a </w:t>
      </w:r>
      <w:proofErr w:type="spellStart"/>
      <w:r w:rsidR="00700504"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  <w:t>Pr</w:t>
      </w:r>
      <w:r w:rsidR="00B34E90"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  <w:t>ó-R</w:t>
      </w:r>
      <w:r w:rsidR="00700504"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  <w:t>eitoria</w:t>
      </w:r>
      <w:proofErr w:type="spellEnd"/>
      <w:r w:rsidR="00700504"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  <w:t xml:space="preserve"> de Pesquisa.</w:t>
      </w:r>
    </w:p>
    <w:p w:rsidR="005E3686" w:rsidRPr="00FB63FA" w:rsidRDefault="005E3686" w:rsidP="005E3686">
      <w:pPr>
        <w:pStyle w:val="Corpo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</w:pP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>No que tange a captação de recursos</w:t>
      </w:r>
      <w:r w:rsidR="00B34E90">
        <w:rPr>
          <w:rFonts w:ascii="Times New Roman" w:hAnsi="Times New Roman" w:cs="Times New Roman"/>
          <w:sz w:val="24"/>
          <w:szCs w:val="24"/>
          <w:u w:color="231F20"/>
          <w:lang w:val="pt-BR"/>
        </w:rPr>
        <w:t>,</w:t>
      </w: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a </w:t>
      </w:r>
      <w:r w:rsidR="00B34E90">
        <w:rPr>
          <w:rFonts w:ascii="Times New Roman" w:hAnsi="Times New Roman" w:cs="Times New Roman"/>
          <w:sz w:val="24"/>
          <w:szCs w:val="24"/>
          <w:u w:color="231F20"/>
          <w:lang w:val="pt-BR"/>
        </w:rPr>
        <w:t>Proex</w:t>
      </w: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desenvolve ações de apoio aos projetos para a captação de recursos em editais externos. Como foi, historicamente, o Programa de Apoio à Extensão Universitária (</w:t>
      </w:r>
      <w:proofErr w:type="spellStart"/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>Proext</w:t>
      </w:r>
      <w:proofErr w:type="spellEnd"/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>) MEC/</w:t>
      </w:r>
      <w:proofErr w:type="spellStart"/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>SESu</w:t>
      </w:r>
      <w:proofErr w:type="spellEnd"/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, instrumento para programas e projetos de extensão universitária, com ênfase na formação </w:t>
      </w:r>
      <w:r w:rsidR="00700504">
        <w:rPr>
          <w:rFonts w:ascii="Times New Roman" w:hAnsi="Times New Roman" w:cs="Times New Roman"/>
          <w:sz w:val="24"/>
          <w:szCs w:val="24"/>
          <w:u w:color="231F20"/>
          <w:lang w:val="pt-BR"/>
        </w:rPr>
        <w:t>dos estudantes</w:t>
      </w: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e </w:t>
      </w: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lastRenderedPageBreak/>
        <w:t>na inclusão social nas suas mais diversas dimensões, visando aprofundar ações políticas que venham fortalecer a institucionalização da extensão no âmbito das Instituições Federais, Estaduais e Municipais e Comunitárias de Educação Superior.</w:t>
      </w:r>
      <w:r w:rsidR="00700504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A Pró-reitoria de Extensão desenvolve ação continuada de levantamento de editais nacionais e internacionais para divulgação junto aos servidores coordenadores de ações de extensão. </w:t>
      </w:r>
    </w:p>
    <w:p w:rsidR="005E3686" w:rsidRPr="00FB63FA" w:rsidRDefault="005E3686" w:rsidP="005E3686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</w:pPr>
      <w:r w:rsidRPr="00FB63FA"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  <w:tab/>
      </w: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 xml:space="preserve">Em relação a avaliação e monitoramento da extensão, a UFMG tem procurado desenvolvê-las em consonância com as diretrizes da Comissão Própria de Avaliação da UFMG e do Fórum de Pró-reitores de Extensão. A Diretoria de </w:t>
      </w:r>
      <w:r w:rsidR="00700504">
        <w:rPr>
          <w:rFonts w:ascii="Times New Roman" w:hAnsi="Times New Roman" w:cs="Times New Roman"/>
          <w:sz w:val="24"/>
          <w:szCs w:val="24"/>
          <w:u w:color="000000"/>
          <w:lang w:val="pt-BR"/>
        </w:rPr>
        <w:t xml:space="preserve">Fomento e </w:t>
      </w: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 xml:space="preserve">Avaliação da Pró-reitoria é uma das participantes do Projeto IBEU (Indicadores Brasileiros para Extensão Universitária), do Fórum de Pró-reitores de Extensão, que tem trabalhado na construção de indicadores para avaliação da extensão universitária que permitam, inclusive, comparação entre instituições e sejam utilizados nacionalmente. Na avaliação baseada nos dados registrados no </w:t>
      </w:r>
      <w:proofErr w:type="spellStart"/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>S</w:t>
      </w:r>
      <w:r w:rsidR="0045144D">
        <w:rPr>
          <w:rFonts w:ascii="Times New Roman" w:hAnsi="Times New Roman" w:cs="Times New Roman"/>
          <w:sz w:val="24"/>
          <w:szCs w:val="24"/>
          <w:u w:color="000000"/>
          <w:lang w:val="pt-BR"/>
        </w:rPr>
        <w:t>iex</w:t>
      </w:r>
      <w:proofErr w:type="spellEnd"/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 xml:space="preserve"> foi possível identificar que ações de extensão são desenvolvidas em todas as unidades acadêmicas da UFMG, englobando as oito áreas temáticas, com envolvimento de cerca de 1500 docentes e com relato de mais de 3.000 produtos, sendo a maioria trabalhos apresentados em eventos acadêmicos-científicos e produtos audiovisuais. Em 2011, o Conselho de Ensino Pesquisa e Extensão aprovou a inclusão de um indicador que avalia as ações de extensão desenvolvidas pelos departamentos na matriz para alocação de vagas do magistério superior, o qual foi aplicado pela primeira vez em 2014. Esse indicador adquiriu grande importância para valorização da extensão nos planos de trabalho individuais e dos departamentos. A avaliação da extensão compreende ainda os seguintes aspectos: perfil das ações de extensão desenvolvidas nas Unidades Acadêmicas, mapeamento das ações de extensão com integralização de créditos nos cursos graduação, avaliação das ações de extensão pelos bolsistas e orientadores e avaliação por membros das comunidades e instituições parceiras.</w:t>
      </w:r>
    </w:p>
    <w:p w:rsidR="005E3686" w:rsidRPr="00FB63FA" w:rsidRDefault="005E3686" w:rsidP="005E3686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</w:pPr>
      <w:r w:rsidRPr="00FB63FA"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  <w:tab/>
        <w:t>Visando a ampliação da aproximação e cooperação entre ações de extensão que tenham similaridade de publico alvo, a P</w:t>
      </w:r>
      <w:r w:rsidR="0045144D"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  <w:t>roex</w:t>
      </w:r>
      <w:r w:rsidRPr="00FB63FA"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  <w:t xml:space="preserve"> criou a política </w:t>
      </w:r>
      <w:r w:rsidR="00870D88"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  <w:t>para foment</w:t>
      </w:r>
      <w:r w:rsidR="00B34E90"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  <w:t>o</w:t>
      </w:r>
      <w:r w:rsidR="00870D88"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  <w:t xml:space="preserve"> de</w:t>
      </w:r>
      <w:r w:rsidRPr="00FB63FA"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  <w:t xml:space="preserve"> Redes</w:t>
      </w:r>
      <w:r w:rsidR="00870D88"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  <w:t xml:space="preserve"> </w:t>
      </w:r>
      <w:r w:rsidR="00C43F71"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  <w:t>Interdisciplinares</w:t>
      </w:r>
      <w:r w:rsidRPr="00FB63FA"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  <w:t xml:space="preserve">. </w:t>
      </w: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 xml:space="preserve">O trabalho em rede tem proporcionado a integração e troca de experiência entre os projetos e programas de extensão, potencializando </w:t>
      </w:r>
      <w:r w:rsidR="00870D88">
        <w:rPr>
          <w:rFonts w:ascii="Times New Roman" w:hAnsi="Times New Roman" w:cs="Times New Roman"/>
          <w:sz w:val="24"/>
          <w:szCs w:val="24"/>
          <w:u w:color="000000"/>
          <w:lang w:val="pt-BR"/>
        </w:rPr>
        <w:t xml:space="preserve">o impacto junto às comunidades e outros setores da sociedade que são parceiros </w:t>
      </w:r>
      <w:r w:rsidR="00B34E90">
        <w:rPr>
          <w:rFonts w:ascii="Times New Roman" w:hAnsi="Times New Roman" w:cs="Times New Roman"/>
          <w:sz w:val="24"/>
          <w:szCs w:val="24"/>
          <w:u w:color="000000"/>
          <w:lang w:val="pt-BR"/>
        </w:rPr>
        <w:t>nas ações</w:t>
      </w:r>
      <w:r w:rsidR="00870D88">
        <w:rPr>
          <w:rFonts w:ascii="Times New Roman" w:hAnsi="Times New Roman" w:cs="Times New Roman"/>
          <w:sz w:val="24"/>
          <w:szCs w:val="24"/>
          <w:u w:color="000000"/>
          <w:lang w:val="pt-BR"/>
        </w:rPr>
        <w:t xml:space="preserve"> de extensão </w:t>
      </w: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 xml:space="preserve">e dando maior visibilidade a suas ações. </w:t>
      </w:r>
      <w:r w:rsidR="00870D88">
        <w:rPr>
          <w:rFonts w:ascii="Times New Roman" w:hAnsi="Times New Roman" w:cs="Times New Roman"/>
          <w:sz w:val="24"/>
          <w:szCs w:val="24"/>
          <w:u w:color="000000"/>
          <w:lang w:val="pt-BR"/>
        </w:rPr>
        <w:t xml:space="preserve">Um dos princípios que orienta o trabalho das Redes é a compreensão de que os grandes problemas da sociedade brasileira não se referem a um único campo disciplinar, mas exigem a articulação e conexão de saberes e práticas </w:t>
      </w:r>
      <w:r w:rsidR="00870D88">
        <w:rPr>
          <w:rFonts w:ascii="Times New Roman" w:hAnsi="Times New Roman" w:cs="Times New Roman"/>
          <w:sz w:val="24"/>
          <w:szCs w:val="24"/>
          <w:u w:color="000000"/>
          <w:lang w:val="pt-BR"/>
        </w:rPr>
        <w:lastRenderedPageBreak/>
        <w:t xml:space="preserve">diversas, incluindo os saberes dos grupos </w:t>
      </w:r>
      <w:r w:rsidR="00B34E90">
        <w:rPr>
          <w:rFonts w:ascii="Times New Roman" w:hAnsi="Times New Roman" w:cs="Times New Roman"/>
          <w:sz w:val="24"/>
          <w:szCs w:val="24"/>
          <w:u w:color="000000"/>
          <w:lang w:val="pt-BR"/>
        </w:rPr>
        <w:t>sociais parceiros</w:t>
      </w:r>
      <w:r w:rsidR="00870D88">
        <w:rPr>
          <w:rFonts w:ascii="Times New Roman" w:hAnsi="Times New Roman" w:cs="Times New Roman"/>
          <w:sz w:val="24"/>
          <w:szCs w:val="24"/>
          <w:u w:color="000000"/>
          <w:lang w:val="pt-BR"/>
        </w:rPr>
        <w:t xml:space="preserve">. </w:t>
      </w: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>As redes em funcionamento são: Rede Juventude; Rede Saúde Mental; Rede Cidades (</w:t>
      </w:r>
      <w:r w:rsidR="00870D88">
        <w:rPr>
          <w:rFonts w:ascii="Times New Roman" w:hAnsi="Times New Roman" w:cs="Times New Roman"/>
          <w:sz w:val="24"/>
          <w:szCs w:val="24"/>
          <w:u w:color="000000"/>
          <w:lang w:val="pt-BR"/>
        </w:rPr>
        <w:t xml:space="preserve">inclui a </w:t>
      </w: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 xml:space="preserve">temática da terra e justiça ambiental); </w:t>
      </w:r>
      <w:r w:rsidR="00870D88">
        <w:rPr>
          <w:rFonts w:ascii="Times New Roman" w:hAnsi="Times New Roman" w:cs="Times New Roman"/>
          <w:sz w:val="24"/>
          <w:szCs w:val="24"/>
          <w:u w:color="000000"/>
          <w:lang w:val="pt-BR"/>
        </w:rPr>
        <w:t xml:space="preserve">Rede Direitos Humanos; </w:t>
      </w:r>
      <w:r w:rsidRPr="00FB63FA">
        <w:rPr>
          <w:rFonts w:ascii="Times New Roman" w:hAnsi="Times New Roman" w:cs="Times New Roman"/>
          <w:sz w:val="24"/>
          <w:szCs w:val="24"/>
          <w:u w:color="000000"/>
          <w:lang w:val="pt-BR"/>
        </w:rPr>
        <w:t xml:space="preserve">Observatório da Migração Internacional de Minas Gerais (parceria da Secretária de Estado de Direitos Humanos, Participação Social e Cidadania de Minas Gerais com diversas universidades, entre elas a UFMG), Programa Participa UFMG Mariana – Rio Doce (Observatório da Tragédia Mariana-Rio Doce com participação de programas e projetos de extensão da UFMG, UFOP e UFES). </w:t>
      </w:r>
    </w:p>
    <w:p w:rsidR="005E3686" w:rsidRPr="00FB63FA" w:rsidRDefault="005E3686" w:rsidP="005E3686">
      <w:pPr>
        <w:pStyle w:val="Corpo"/>
        <w:spacing w:line="360" w:lineRule="auto"/>
        <w:jc w:val="both"/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</w:pPr>
      <w:r w:rsidRPr="00FB63FA"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  <w:tab/>
        <w:t>A Pró-reitoria de Extensão promove, anualmente, a Jornada de Extensão, evento que tem como objetivos receber os bolsistas de extensão</w:t>
      </w:r>
      <w:r w:rsidR="00870D88"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  <w:t xml:space="preserve"> e voluntários das ações de extensão</w:t>
      </w:r>
      <w:r w:rsidRPr="00FB63FA"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  <w:t xml:space="preserve">, incentivar os debates e trocas de experiências. Desde 2014, representantes das comunidades parceiras das ações de extensão são convidados a participar dessas jornadas. Nos últimos anos, cerca de 700 estudantes estiveram presentes em cada edição do evento. Os bolsistas de extensão também têm como atribuição apresentar, na forma de resumo e pôster ou apresentação oral, as ações, resultados ou produtos, no Encontro de Extensão, que ocorre durante a Semana do Conhecimento. São apresentados, em média, 500 a 600 trabalhos. Estes são inicialmente apresentados em suas unidades de origem, são selecionados aproximadamente 10% para apresentação que serão avaliadas por membros da Câmara de Extensão. Sendo selecionados 2 trabalhos de cada área Temática da Extensão para premiação </w:t>
      </w:r>
      <w:r w:rsidRPr="00420FCB"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  <w:t>como Destaque de Extensão.</w:t>
      </w:r>
      <w:r w:rsidRPr="00FB63FA"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  <w:t xml:space="preserve"> </w:t>
      </w:r>
      <w:r w:rsidR="00870D88"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  <w:t xml:space="preserve">Nos últimos anos os comitês avaliadores dos trabalhos apresentados contam com a participação de representantes das políticas públicas de áreas diversas. Essa participação tem sido muito frutífera tanto pela necessária avaliação da comunidade externa à UFMG dos trabalhos desenvolvidos, quanto pelos desdobramentos possíveis das ações de extensão junto às políticas públicas. </w:t>
      </w:r>
    </w:p>
    <w:p w:rsidR="005E3686" w:rsidRPr="00FB63FA" w:rsidRDefault="005E3686" w:rsidP="005E3686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mbria" w:hAnsi="Times New Roman" w:cs="Times New Roman"/>
          <w:color w:val="3E3A34"/>
          <w:sz w:val="24"/>
          <w:szCs w:val="24"/>
          <w:u w:color="3E3A34"/>
          <w:lang w:val="pt-BR"/>
        </w:rPr>
      </w:pPr>
      <w:r w:rsidRPr="00FB63FA"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  <w:tab/>
      </w:r>
      <w:r w:rsidRPr="00FB63FA"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  <w:t xml:space="preserve">É inegável que ao longo dos últimos anos houve avanços significativos no reconhecimento da Extensão Universitária como prática acadêmica e instrumento efetivo de transformação da sociedade e da própria universidade. Nesse sentido, é necessário que haja investimento contínuo nas políticas de fomento que garantam sustentabilidade aos programas e projetos, na avaliação e monitoramento das ações de extensão e na intensificação de uma interlocução qualificada com setores diversos da sociedade, no âmbito regional, nacional e internacional. No contexto contemporâneo, apresenta-se como importante desafio para a Extensão a sua incorporação curricular, ou seja, assegurar sua inserção nos projetos pedagógicos de todos os cursos de graduação, a partir de perspectivas </w:t>
      </w:r>
      <w:proofErr w:type="spellStart"/>
      <w:r w:rsidRPr="00FB63FA"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  <w:t>inter</w:t>
      </w:r>
      <w:proofErr w:type="spellEnd"/>
      <w:r w:rsidRPr="00FB63FA"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  <w:t xml:space="preserve"> e transdisciplinares. É imprescindível que sejam utilizadas metodologias inovadoras </w:t>
      </w:r>
      <w:r w:rsidRPr="00FB63FA">
        <w:rPr>
          <w:rFonts w:ascii="Times New Roman" w:eastAsia="Cambria" w:hAnsi="Times New Roman" w:cs="Times New Roman"/>
          <w:color w:val="1A1A1A"/>
          <w:sz w:val="24"/>
          <w:szCs w:val="24"/>
          <w:u w:color="1A1A1A"/>
          <w:lang w:val="pt-BR"/>
        </w:rPr>
        <w:t>que se articulem com a Pesquisa e com o Ensino</w:t>
      </w:r>
      <w:r w:rsidRPr="00FB63FA"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  <w:t xml:space="preserve">, de forma que </w:t>
      </w:r>
      <w:r w:rsidRPr="00FB63FA"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  <w:lastRenderedPageBreak/>
        <w:t xml:space="preserve">o papel formador da Extensão seja efetivamente reconhecido. Além disso, é urgente que sejam incorporadas novas pautas ao debate da Extensão, como a interface com a tecnologia, com os saberes dos sujeitos diversos presentes na universidade e com a pluralidade de linguagens para maior qualificação do processo de comunicação da Universidade com a sociedade, explicitada por meio dos produtos </w:t>
      </w:r>
      <w:r w:rsidRPr="00FB63FA">
        <w:rPr>
          <w:rFonts w:ascii="Times New Roman" w:eastAsia="Cambria" w:hAnsi="Times New Roman" w:cs="Times New Roman"/>
          <w:color w:val="3E3A34"/>
          <w:sz w:val="24"/>
          <w:szCs w:val="24"/>
          <w:u w:color="3E3A34"/>
          <w:lang w:val="pt-BR"/>
        </w:rPr>
        <w:t xml:space="preserve">gerados a partir das ações de Extensão. </w:t>
      </w:r>
    </w:p>
    <w:p w:rsidR="005E3686" w:rsidRPr="00FB63FA" w:rsidRDefault="005E3686" w:rsidP="005E3686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mbria" w:hAnsi="Times New Roman" w:cs="Times New Roman"/>
          <w:color w:val="3E3A34"/>
          <w:sz w:val="24"/>
          <w:szCs w:val="24"/>
          <w:u w:color="3E3A34"/>
          <w:lang w:val="pt-BR"/>
        </w:rPr>
      </w:pPr>
    </w:p>
    <w:p w:rsidR="005E3686" w:rsidRDefault="005E3686" w:rsidP="005E3686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color="000000"/>
          <w:lang w:val="pt-BR"/>
        </w:rPr>
      </w:pPr>
      <w:r w:rsidRPr="00FB63FA">
        <w:rPr>
          <w:rFonts w:ascii="Times New Roman" w:hAnsi="Times New Roman" w:cs="Times New Roman"/>
          <w:b/>
          <w:bCs/>
          <w:sz w:val="24"/>
          <w:szCs w:val="24"/>
          <w:u w:color="000000"/>
          <w:lang w:val="pt-BR"/>
        </w:rPr>
        <w:t xml:space="preserve">Informações </w:t>
      </w:r>
      <w:r w:rsidR="0045144D">
        <w:rPr>
          <w:rFonts w:ascii="Times New Roman" w:hAnsi="Times New Roman" w:cs="Times New Roman"/>
          <w:b/>
          <w:bCs/>
          <w:sz w:val="24"/>
          <w:szCs w:val="24"/>
          <w:u w:color="000000"/>
          <w:lang w:val="pt-BR"/>
        </w:rPr>
        <w:t xml:space="preserve">Proex </w:t>
      </w:r>
      <w:r w:rsidRPr="00FB63FA">
        <w:rPr>
          <w:rFonts w:ascii="Times New Roman" w:hAnsi="Times New Roman" w:cs="Times New Roman"/>
          <w:b/>
          <w:bCs/>
          <w:sz w:val="24"/>
          <w:szCs w:val="24"/>
          <w:u w:color="000000"/>
          <w:lang w:val="pt-BR"/>
        </w:rPr>
        <w:t>2013 a 2017</w:t>
      </w:r>
    </w:p>
    <w:p w:rsidR="0045144D" w:rsidRDefault="0045144D" w:rsidP="005E3686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color="000000"/>
          <w:lang w:val="pt-BR"/>
        </w:rPr>
      </w:pPr>
    </w:p>
    <w:p w:rsidR="0045144D" w:rsidRPr="0045144D" w:rsidRDefault="0045144D" w:rsidP="005E3686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outlineLvl w:val="0"/>
        <w:rPr>
          <w:rFonts w:ascii="Times New Roman" w:hAnsi="Times New Roman" w:cs="Times New Roman"/>
          <w:b/>
          <w:bCs/>
          <w:u w:color="000000"/>
          <w:lang w:val="pt-BR"/>
        </w:rPr>
      </w:pPr>
      <w:r w:rsidRPr="0045144D">
        <w:rPr>
          <w:rFonts w:ascii="Times New Roman" w:hAnsi="Times New Roman" w:cs="Times New Roman"/>
          <w:b/>
          <w:bCs/>
          <w:u w:color="000000"/>
          <w:lang w:val="pt-BR"/>
        </w:rPr>
        <w:t>Tabela 1 – Quantitativo das ações de extensão</w:t>
      </w:r>
      <w:r w:rsidR="004F652E">
        <w:rPr>
          <w:rFonts w:ascii="Times New Roman" w:hAnsi="Times New Roman" w:cs="Times New Roman"/>
          <w:b/>
          <w:bCs/>
          <w:u w:color="000000"/>
          <w:lang w:val="pt-BR"/>
        </w:rPr>
        <w:t xml:space="preserve"> na UFMG</w:t>
      </w:r>
      <w:r w:rsidRPr="0045144D">
        <w:rPr>
          <w:rFonts w:ascii="Times New Roman" w:hAnsi="Times New Roman" w:cs="Times New Roman"/>
          <w:b/>
          <w:bCs/>
          <w:u w:color="000000"/>
          <w:lang w:val="pt-BR"/>
        </w:rPr>
        <w:t>, 2013 a 2017</w:t>
      </w:r>
      <w:r w:rsidR="004F652E">
        <w:rPr>
          <w:rFonts w:ascii="Times New Roman" w:hAnsi="Times New Roman" w:cs="Times New Roman"/>
          <w:b/>
          <w:bCs/>
          <w:u w:color="000000"/>
          <w:lang w:val="pt-BR"/>
        </w:rPr>
        <w:t>.</w:t>
      </w:r>
    </w:p>
    <w:tbl>
      <w:tblPr>
        <w:tblStyle w:val="TabelaSimples2"/>
        <w:tblW w:w="5000" w:type="pct"/>
        <w:tblLook w:val="04A0" w:firstRow="1" w:lastRow="0" w:firstColumn="1" w:lastColumn="0" w:noHBand="0" w:noVBand="1"/>
      </w:tblPr>
      <w:tblGrid>
        <w:gridCol w:w="2167"/>
        <w:gridCol w:w="1086"/>
        <w:gridCol w:w="1312"/>
        <w:gridCol w:w="1312"/>
        <w:gridCol w:w="1312"/>
        <w:gridCol w:w="1309"/>
      </w:tblGrid>
      <w:tr w:rsidR="005E3686" w:rsidRPr="0045144D" w:rsidTr="00E7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pct"/>
          </w:tcPr>
          <w:p w:rsidR="005E3686" w:rsidRPr="0045144D" w:rsidRDefault="005E3686" w:rsidP="00E71933">
            <w:pPr>
              <w:pStyle w:val="EstilodeTabela2"/>
              <w:tabs>
                <w:tab w:val="left" w:pos="708"/>
                <w:tab w:val="left" w:pos="1416"/>
                <w:tab w:val="left" w:pos="212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5144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FFFFFF"/>
              </w:rPr>
              <w:t>ANO</w:t>
            </w:r>
          </w:p>
        </w:tc>
        <w:tc>
          <w:tcPr>
            <w:tcW w:w="639" w:type="pct"/>
          </w:tcPr>
          <w:p w:rsidR="005E3686" w:rsidRPr="0045144D" w:rsidRDefault="005E3686" w:rsidP="00E71933">
            <w:pPr>
              <w:pStyle w:val="Corpo"/>
              <w:tabs>
                <w:tab w:val="left" w:pos="708"/>
                <w:tab w:val="left" w:pos="1416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45144D">
              <w:rPr>
                <w:rFonts w:ascii="Times New Roman" w:hAnsi="Times New Roman" w:cs="Times New Roman"/>
                <w:color w:val="000000" w:themeColor="text1"/>
                <w:u w:color="FFFFFF"/>
                <w:lang w:val="pt-BR"/>
              </w:rPr>
              <w:t>2013</w:t>
            </w:r>
          </w:p>
        </w:tc>
        <w:tc>
          <w:tcPr>
            <w:tcW w:w="772" w:type="pct"/>
          </w:tcPr>
          <w:p w:rsidR="005E3686" w:rsidRPr="0045144D" w:rsidRDefault="005E3686" w:rsidP="00E71933">
            <w:pPr>
              <w:pStyle w:val="Corpo"/>
              <w:tabs>
                <w:tab w:val="left" w:pos="708"/>
                <w:tab w:val="left" w:pos="1416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45144D">
              <w:rPr>
                <w:rFonts w:ascii="Times New Roman" w:hAnsi="Times New Roman" w:cs="Times New Roman"/>
                <w:color w:val="000000" w:themeColor="text1"/>
                <w:u w:color="FFFFFF"/>
                <w:lang w:val="pt-BR"/>
              </w:rPr>
              <w:t>2014</w:t>
            </w:r>
          </w:p>
        </w:tc>
        <w:tc>
          <w:tcPr>
            <w:tcW w:w="772" w:type="pct"/>
          </w:tcPr>
          <w:p w:rsidR="005E3686" w:rsidRPr="0045144D" w:rsidRDefault="005E3686" w:rsidP="00E71933">
            <w:pPr>
              <w:pStyle w:val="Corpo"/>
              <w:tabs>
                <w:tab w:val="left" w:pos="708"/>
                <w:tab w:val="left" w:pos="1416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45144D">
              <w:rPr>
                <w:rFonts w:ascii="Times New Roman" w:hAnsi="Times New Roman" w:cs="Times New Roman"/>
                <w:color w:val="000000" w:themeColor="text1"/>
                <w:u w:color="FFFFFF"/>
                <w:lang w:val="pt-BR"/>
              </w:rPr>
              <w:t>2015</w:t>
            </w:r>
          </w:p>
        </w:tc>
        <w:tc>
          <w:tcPr>
            <w:tcW w:w="772" w:type="pct"/>
          </w:tcPr>
          <w:p w:rsidR="005E3686" w:rsidRPr="0045144D" w:rsidRDefault="005E3686" w:rsidP="00E71933">
            <w:pPr>
              <w:pStyle w:val="Corpo"/>
              <w:tabs>
                <w:tab w:val="left" w:pos="708"/>
                <w:tab w:val="left" w:pos="1416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45144D">
              <w:rPr>
                <w:rFonts w:ascii="Times New Roman" w:hAnsi="Times New Roman" w:cs="Times New Roman"/>
                <w:color w:val="000000" w:themeColor="text1"/>
                <w:u w:color="FFFFFF"/>
                <w:lang w:val="pt-BR"/>
              </w:rPr>
              <w:t>2016</w:t>
            </w:r>
          </w:p>
        </w:tc>
        <w:tc>
          <w:tcPr>
            <w:tcW w:w="770" w:type="pct"/>
          </w:tcPr>
          <w:p w:rsidR="005E3686" w:rsidRPr="0045144D" w:rsidRDefault="005E3686" w:rsidP="00E71933">
            <w:pPr>
              <w:pStyle w:val="Corpo"/>
              <w:tabs>
                <w:tab w:val="left" w:pos="708"/>
                <w:tab w:val="left" w:pos="1416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45144D">
              <w:rPr>
                <w:rFonts w:ascii="Times New Roman" w:hAnsi="Times New Roman" w:cs="Times New Roman"/>
                <w:color w:val="000000" w:themeColor="text1"/>
                <w:u w:color="FFFFFF"/>
                <w:lang w:val="pt-BR"/>
              </w:rPr>
              <w:t>2017</w:t>
            </w:r>
          </w:p>
        </w:tc>
      </w:tr>
      <w:tr w:rsidR="005E3686" w:rsidRPr="0045144D" w:rsidTr="00E7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pct"/>
            <w:tcBorders>
              <w:bottom w:val="nil"/>
            </w:tcBorders>
          </w:tcPr>
          <w:p w:rsidR="005E3686" w:rsidRPr="0045144D" w:rsidRDefault="0045144D" w:rsidP="00E71933">
            <w:pPr>
              <w:pStyle w:val="EstilodeTabela2"/>
              <w:tabs>
                <w:tab w:val="left" w:pos="708"/>
                <w:tab w:val="left" w:pos="1416"/>
                <w:tab w:val="left" w:pos="2124"/>
              </w:tabs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5144D">
              <w:rPr>
                <w:rFonts w:ascii="Times New Roman" w:hAnsi="Times New Roman" w:cs="Times New Roman"/>
                <w:b w:val="0"/>
                <w:sz w:val="22"/>
                <w:szCs w:val="22"/>
                <w:u w:color="000000"/>
              </w:rPr>
              <w:t>Programas</w:t>
            </w:r>
          </w:p>
        </w:tc>
        <w:tc>
          <w:tcPr>
            <w:tcW w:w="639" w:type="pct"/>
            <w:tcBorders>
              <w:bottom w:val="nil"/>
            </w:tcBorders>
          </w:tcPr>
          <w:p w:rsidR="005E3686" w:rsidRPr="0045144D" w:rsidRDefault="005E3686" w:rsidP="00E719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45144D">
              <w:rPr>
                <w:sz w:val="22"/>
                <w:szCs w:val="22"/>
                <w:lang w:val="pt-BR"/>
              </w:rPr>
              <w:t>217</w:t>
            </w:r>
          </w:p>
        </w:tc>
        <w:tc>
          <w:tcPr>
            <w:tcW w:w="772" w:type="pct"/>
            <w:tcBorders>
              <w:bottom w:val="nil"/>
            </w:tcBorders>
          </w:tcPr>
          <w:p w:rsidR="005E3686" w:rsidRPr="0045144D" w:rsidRDefault="005E3686" w:rsidP="00E719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45144D">
              <w:rPr>
                <w:sz w:val="22"/>
                <w:szCs w:val="22"/>
                <w:lang w:val="pt-BR"/>
              </w:rPr>
              <w:t>216</w:t>
            </w:r>
          </w:p>
        </w:tc>
        <w:tc>
          <w:tcPr>
            <w:tcW w:w="772" w:type="pct"/>
            <w:tcBorders>
              <w:bottom w:val="nil"/>
            </w:tcBorders>
          </w:tcPr>
          <w:p w:rsidR="005E3686" w:rsidRPr="0045144D" w:rsidRDefault="005E3686" w:rsidP="00E719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45144D">
              <w:rPr>
                <w:sz w:val="22"/>
                <w:szCs w:val="22"/>
                <w:lang w:val="pt-BR"/>
              </w:rPr>
              <w:t>222</w:t>
            </w:r>
          </w:p>
        </w:tc>
        <w:tc>
          <w:tcPr>
            <w:tcW w:w="772" w:type="pct"/>
            <w:tcBorders>
              <w:bottom w:val="nil"/>
            </w:tcBorders>
          </w:tcPr>
          <w:p w:rsidR="005E3686" w:rsidRPr="0045144D" w:rsidRDefault="005E3686" w:rsidP="00E719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45144D">
              <w:rPr>
                <w:sz w:val="22"/>
                <w:szCs w:val="22"/>
                <w:lang w:val="pt-BR"/>
              </w:rPr>
              <w:t>220</w:t>
            </w:r>
          </w:p>
        </w:tc>
        <w:tc>
          <w:tcPr>
            <w:tcW w:w="770" w:type="pct"/>
            <w:tcBorders>
              <w:bottom w:val="nil"/>
            </w:tcBorders>
          </w:tcPr>
          <w:p w:rsidR="005E3686" w:rsidRPr="0045144D" w:rsidRDefault="005E3686" w:rsidP="00E71933">
            <w:pPr>
              <w:pStyle w:val="EstilodeTabela2"/>
              <w:tabs>
                <w:tab w:val="left" w:pos="708"/>
                <w:tab w:val="left" w:pos="1416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44D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185</w:t>
            </w:r>
          </w:p>
        </w:tc>
      </w:tr>
      <w:tr w:rsidR="005E3686" w:rsidRPr="0045144D" w:rsidTr="00E71933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pct"/>
            <w:tcBorders>
              <w:top w:val="nil"/>
              <w:bottom w:val="nil"/>
            </w:tcBorders>
          </w:tcPr>
          <w:p w:rsidR="005E3686" w:rsidRPr="0045144D" w:rsidRDefault="0045144D" w:rsidP="00E71933">
            <w:pPr>
              <w:pStyle w:val="EstilodeTabela2"/>
              <w:tabs>
                <w:tab w:val="left" w:pos="708"/>
                <w:tab w:val="left" w:pos="1416"/>
                <w:tab w:val="left" w:pos="2124"/>
              </w:tabs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5144D">
              <w:rPr>
                <w:rFonts w:ascii="Times New Roman" w:hAnsi="Times New Roman" w:cs="Times New Roman"/>
                <w:b w:val="0"/>
                <w:sz w:val="22"/>
                <w:szCs w:val="22"/>
                <w:u w:color="000000"/>
              </w:rPr>
              <w:t>Projetos</w:t>
            </w:r>
          </w:p>
        </w:tc>
        <w:tc>
          <w:tcPr>
            <w:tcW w:w="639" w:type="pct"/>
            <w:tcBorders>
              <w:top w:val="nil"/>
              <w:bottom w:val="nil"/>
            </w:tcBorders>
          </w:tcPr>
          <w:p w:rsidR="005E3686" w:rsidRPr="0045144D" w:rsidRDefault="005E3686" w:rsidP="00E719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45144D">
              <w:rPr>
                <w:sz w:val="22"/>
                <w:szCs w:val="22"/>
                <w:lang w:val="pt-BR"/>
              </w:rPr>
              <w:t>1.230</w:t>
            </w:r>
          </w:p>
        </w:tc>
        <w:tc>
          <w:tcPr>
            <w:tcW w:w="772" w:type="pct"/>
            <w:tcBorders>
              <w:top w:val="nil"/>
              <w:bottom w:val="nil"/>
            </w:tcBorders>
          </w:tcPr>
          <w:p w:rsidR="005E3686" w:rsidRPr="0045144D" w:rsidRDefault="005E3686" w:rsidP="00E719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45144D">
              <w:rPr>
                <w:sz w:val="22"/>
                <w:szCs w:val="22"/>
                <w:lang w:val="pt-BR"/>
              </w:rPr>
              <w:t>1.264</w:t>
            </w:r>
          </w:p>
        </w:tc>
        <w:tc>
          <w:tcPr>
            <w:tcW w:w="772" w:type="pct"/>
            <w:tcBorders>
              <w:top w:val="nil"/>
              <w:bottom w:val="nil"/>
            </w:tcBorders>
          </w:tcPr>
          <w:p w:rsidR="005E3686" w:rsidRPr="0045144D" w:rsidRDefault="005E3686" w:rsidP="00E719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45144D">
              <w:rPr>
                <w:sz w:val="22"/>
                <w:szCs w:val="22"/>
                <w:lang w:val="pt-BR"/>
              </w:rPr>
              <w:t>1.319</w:t>
            </w:r>
          </w:p>
        </w:tc>
        <w:tc>
          <w:tcPr>
            <w:tcW w:w="772" w:type="pct"/>
            <w:tcBorders>
              <w:top w:val="nil"/>
              <w:bottom w:val="nil"/>
            </w:tcBorders>
          </w:tcPr>
          <w:p w:rsidR="005E3686" w:rsidRPr="0045144D" w:rsidRDefault="005E3686" w:rsidP="00E719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45144D">
              <w:rPr>
                <w:sz w:val="22"/>
                <w:szCs w:val="22"/>
                <w:lang w:val="pt-BR"/>
              </w:rPr>
              <w:t>1.353</w:t>
            </w:r>
          </w:p>
        </w:tc>
        <w:tc>
          <w:tcPr>
            <w:tcW w:w="770" w:type="pct"/>
            <w:tcBorders>
              <w:top w:val="nil"/>
              <w:bottom w:val="nil"/>
            </w:tcBorders>
          </w:tcPr>
          <w:p w:rsidR="005E3686" w:rsidRPr="0045144D" w:rsidRDefault="005E3686" w:rsidP="00E71933">
            <w:pPr>
              <w:pStyle w:val="EstilodeTabela2"/>
              <w:tabs>
                <w:tab w:val="left" w:pos="708"/>
                <w:tab w:val="left" w:pos="1416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44D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1125</w:t>
            </w:r>
          </w:p>
        </w:tc>
      </w:tr>
      <w:tr w:rsidR="005E3686" w:rsidRPr="0045144D" w:rsidTr="00E7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pct"/>
            <w:tcBorders>
              <w:top w:val="nil"/>
              <w:bottom w:val="nil"/>
            </w:tcBorders>
          </w:tcPr>
          <w:p w:rsidR="005E3686" w:rsidRPr="0045144D" w:rsidRDefault="0045144D" w:rsidP="00E71933">
            <w:pPr>
              <w:pStyle w:val="EstilodeTabela2"/>
              <w:tabs>
                <w:tab w:val="left" w:pos="708"/>
                <w:tab w:val="left" w:pos="1416"/>
                <w:tab w:val="left" w:pos="2124"/>
              </w:tabs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5144D">
              <w:rPr>
                <w:rFonts w:ascii="Times New Roman" w:hAnsi="Times New Roman" w:cs="Times New Roman"/>
                <w:b w:val="0"/>
                <w:sz w:val="22"/>
                <w:szCs w:val="22"/>
                <w:u w:color="000000"/>
              </w:rPr>
              <w:t>Cursos</w:t>
            </w:r>
          </w:p>
        </w:tc>
        <w:tc>
          <w:tcPr>
            <w:tcW w:w="639" w:type="pct"/>
            <w:tcBorders>
              <w:top w:val="nil"/>
              <w:bottom w:val="nil"/>
            </w:tcBorders>
          </w:tcPr>
          <w:p w:rsidR="005E3686" w:rsidRPr="0045144D" w:rsidRDefault="005E3686" w:rsidP="00E719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45144D">
              <w:rPr>
                <w:sz w:val="22"/>
                <w:szCs w:val="22"/>
                <w:lang w:val="pt-BR"/>
              </w:rPr>
              <w:t>433</w:t>
            </w:r>
          </w:p>
        </w:tc>
        <w:tc>
          <w:tcPr>
            <w:tcW w:w="772" w:type="pct"/>
            <w:tcBorders>
              <w:top w:val="nil"/>
              <w:bottom w:val="nil"/>
            </w:tcBorders>
          </w:tcPr>
          <w:p w:rsidR="005E3686" w:rsidRPr="0045144D" w:rsidRDefault="005E3686" w:rsidP="00E719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45144D">
              <w:rPr>
                <w:sz w:val="22"/>
                <w:szCs w:val="22"/>
                <w:lang w:val="pt-BR"/>
              </w:rPr>
              <w:t>489</w:t>
            </w:r>
          </w:p>
        </w:tc>
        <w:tc>
          <w:tcPr>
            <w:tcW w:w="772" w:type="pct"/>
            <w:tcBorders>
              <w:top w:val="nil"/>
              <w:bottom w:val="nil"/>
            </w:tcBorders>
          </w:tcPr>
          <w:p w:rsidR="005E3686" w:rsidRPr="0045144D" w:rsidRDefault="005E3686" w:rsidP="00E719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45144D">
              <w:rPr>
                <w:sz w:val="22"/>
                <w:szCs w:val="22"/>
                <w:lang w:val="pt-BR"/>
              </w:rPr>
              <w:t>533</w:t>
            </w:r>
          </w:p>
        </w:tc>
        <w:tc>
          <w:tcPr>
            <w:tcW w:w="772" w:type="pct"/>
            <w:tcBorders>
              <w:top w:val="nil"/>
              <w:bottom w:val="nil"/>
            </w:tcBorders>
          </w:tcPr>
          <w:p w:rsidR="005E3686" w:rsidRPr="0045144D" w:rsidRDefault="005E3686" w:rsidP="00E719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45144D">
              <w:rPr>
                <w:sz w:val="22"/>
                <w:szCs w:val="22"/>
                <w:lang w:val="pt-BR"/>
              </w:rPr>
              <w:t>591</w:t>
            </w:r>
          </w:p>
        </w:tc>
        <w:tc>
          <w:tcPr>
            <w:tcW w:w="770" w:type="pct"/>
            <w:tcBorders>
              <w:top w:val="nil"/>
              <w:bottom w:val="nil"/>
            </w:tcBorders>
          </w:tcPr>
          <w:p w:rsidR="005E3686" w:rsidRPr="0045144D" w:rsidRDefault="005E3686" w:rsidP="00E71933">
            <w:pPr>
              <w:pStyle w:val="EstilodeTabela2"/>
              <w:tabs>
                <w:tab w:val="left" w:pos="708"/>
                <w:tab w:val="left" w:pos="1416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44D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377</w:t>
            </w:r>
          </w:p>
        </w:tc>
      </w:tr>
      <w:tr w:rsidR="005E3686" w:rsidRPr="0045144D" w:rsidTr="00E71933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pct"/>
            <w:tcBorders>
              <w:top w:val="nil"/>
              <w:bottom w:val="nil"/>
            </w:tcBorders>
          </w:tcPr>
          <w:p w:rsidR="005E3686" w:rsidRPr="0045144D" w:rsidRDefault="0045144D" w:rsidP="00E71933">
            <w:pPr>
              <w:pStyle w:val="EstilodeTabela2"/>
              <w:tabs>
                <w:tab w:val="left" w:pos="708"/>
                <w:tab w:val="left" w:pos="1416"/>
                <w:tab w:val="left" w:pos="2124"/>
              </w:tabs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5144D">
              <w:rPr>
                <w:rFonts w:ascii="Times New Roman" w:hAnsi="Times New Roman" w:cs="Times New Roman"/>
                <w:b w:val="0"/>
                <w:sz w:val="22"/>
                <w:szCs w:val="22"/>
                <w:u w:color="000000"/>
              </w:rPr>
              <w:t>Eventos</w:t>
            </w:r>
          </w:p>
        </w:tc>
        <w:tc>
          <w:tcPr>
            <w:tcW w:w="639" w:type="pct"/>
            <w:tcBorders>
              <w:top w:val="nil"/>
              <w:bottom w:val="nil"/>
            </w:tcBorders>
          </w:tcPr>
          <w:p w:rsidR="005E3686" w:rsidRPr="0045144D" w:rsidRDefault="005E3686" w:rsidP="00E719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45144D">
              <w:rPr>
                <w:sz w:val="22"/>
                <w:szCs w:val="22"/>
                <w:lang w:val="pt-BR"/>
              </w:rPr>
              <w:t>423</w:t>
            </w:r>
          </w:p>
        </w:tc>
        <w:tc>
          <w:tcPr>
            <w:tcW w:w="772" w:type="pct"/>
            <w:tcBorders>
              <w:top w:val="nil"/>
              <w:bottom w:val="nil"/>
            </w:tcBorders>
          </w:tcPr>
          <w:p w:rsidR="005E3686" w:rsidRPr="0045144D" w:rsidRDefault="005E3686" w:rsidP="00E719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45144D">
              <w:rPr>
                <w:sz w:val="22"/>
                <w:szCs w:val="22"/>
                <w:lang w:val="pt-BR"/>
              </w:rPr>
              <w:t>547</w:t>
            </w:r>
          </w:p>
        </w:tc>
        <w:tc>
          <w:tcPr>
            <w:tcW w:w="772" w:type="pct"/>
            <w:tcBorders>
              <w:top w:val="nil"/>
              <w:bottom w:val="nil"/>
            </w:tcBorders>
          </w:tcPr>
          <w:p w:rsidR="005E3686" w:rsidRPr="0045144D" w:rsidRDefault="005E3686" w:rsidP="00E719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45144D">
              <w:rPr>
                <w:sz w:val="22"/>
                <w:szCs w:val="22"/>
                <w:lang w:val="pt-BR"/>
              </w:rPr>
              <w:t>546</w:t>
            </w:r>
          </w:p>
        </w:tc>
        <w:tc>
          <w:tcPr>
            <w:tcW w:w="772" w:type="pct"/>
            <w:tcBorders>
              <w:top w:val="nil"/>
              <w:bottom w:val="nil"/>
            </w:tcBorders>
          </w:tcPr>
          <w:p w:rsidR="005E3686" w:rsidRPr="0045144D" w:rsidRDefault="005E3686" w:rsidP="00E719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45144D">
              <w:rPr>
                <w:sz w:val="22"/>
                <w:szCs w:val="22"/>
                <w:lang w:val="pt-BR"/>
              </w:rPr>
              <w:t>626</w:t>
            </w:r>
          </w:p>
        </w:tc>
        <w:tc>
          <w:tcPr>
            <w:tcW w:w="770" w:type="pct"/>
            <w:tcBorders>
              <w:top w:val="nil"/>
              <w:bottom w:val="nil"/>
            </w:tcBorders>
          </w:tcPr>
          <w:p w:rsidR="005E3686" w:rsidRPr="0045144D" w:rsidRDefault="005E3686" w:rsidP="00E71933">
            <w:pPr>
              <w:pStyle w:val="EstilodeTabela2"/>
              <w:tabs>
                <w:tab w:val="left" w:pos="708"/>
                <w:tab w:val="left" w:pos="1416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44D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368</w:t>
            </w:r>
          </w:p>
        </w:tc>
      </w:tr>
      <w:tr w:rsidR="005E3686" w:rsidRPr="0045144D" w:rsidTr="00E7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pct"/>
            <w:tcBorders>
              <w:top w:val="nil"/>
              <w:bottom w:val="nil"/>
            </w:tcBorders>
          </w:tcPr>
          <w:p w:rsidR="005E3686" w:rsidRPr="0045144D" w:rsidRDefault="0045144D" w:rsidP="00E71933">
            <w:pPr>
              <w:pStyle w:val="EstilodeTabela2"/>
              <w:tabs>
                <w:tab w:val="left" w:pos="708"/>
                <w:tab w:val="left" w:pos="1416"/>
                <w:tab w:val="left" w:pos="2124"/>
              </w:tabs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5144D">
              <w:rPr>
                <w:rFonts w:ascii="Times New Roman" w:hAnsi="Times New Roman" w:cs="Times New Roman"/>
                <w:b w:val="0"/>
                <w:sz w:val="22"/>
                <w:szCs w:val="22"/>
                <w:u w:color="000000"/>
              </w:rPr>
              <w:t>Prestação de serviços</w:t>
            </w:r>
          </w:p>
        </w:tc>
        <w:tc>
          <w:tcPr>
            <w:tcW w:w="639" w:type="pct"/>
            <w:tcBorders>
              <w:top w:val="nil"/>
              <w:bottom w:val="nil"/>
            </w:tcBorders>
          </w:tcPr>
          <w:p w:rsidR="005E3686" w:rsidRPr="0045144D" w:rsidRDefault="005E3686" w:rsidP="00E719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45144D">
              <w:rPr>
                <w:sz w:val="22"/>
                <w:szCs w:val="22"/>
                <w:lang w:val="pt-BR"/>
              </w:rPr>
              <w:t>496</w:t>
            </w:r>
          </w:p>
        </w:tc>
        <w:tc>
          <w:tcPr>
            <w:tcW w:w="772" w:type="pct"/>
            <w:tcBorders>
              <w:top w:val="nil"/>
              <w:bottom w:val="nil"/>
            </w:tcBorders>
          </w:tcPr>
          <w:p w:rsidR="005E3686" w:rsidRPr="0045144D" w:rsidRDefault="005E3686" w:rsidP="00E719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45144D">
              <w:rPr>
                <w:sz w:val="22"/>
                <w:szCs w:val="22"/>
                <w:lang w:val="pt-BR"/>
              </w:rPr>
              <w:t>415</w:t>
            </w:r>
          </w:p>
        </w:tc>
        <w:tc>
          <w:tcPr>
            <w:tcW w:w="772" w:type="pct"/>
            <w:tcBorders>
              <w:top w:val="nil"/>
              <w:bottom w:val="nil"/>
            </w:tcBorders>
          </w:tcPr>
          <w:p w:rsidR="005E3686" w:rsidRPr="0045144D" w:rsidRDefault="005E3686" w:rsidP="00E719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45144D">
              <w:rPr>
                <w:sz w:val="22"/>
                <w:szCs w:val="22"/>
                <w:lang w:val="pt-BR"/>
              </w:rPr>
              <w:t>405</w:t>
            </w:r>
          </w:p>
        </w:tc>
        <w:tc>
          <w:tcPr>
            <w:tcW w:w="772" w:type="pct"/>
            <w:tcBorders>
              <w:top w:val="nil"/>
              <w:bottom w:val="nil"/>
            </w:tcBorders>
          </w:tcPr>
          <w:p w:rsidR="005E3686" w:rsidRPr="0045144D" w:rsidRDefault="005E3686" w:rsidP="00E719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45144D">
              <w:rPr>
                <w:sz w:val="22"/>
                <w:szCs w:val="22"/>
                <w:lang w:val="pt-BR"/>
              </w:rPr>
              <w:t>437</w:t>
            </w:r>
          </w:p>
        </w:tc>
        <w:tc>
          <w:tcPr>
            <w:tcW w:w="770" w:type="pct"/>
            <w:tcBorders>
              <w:top w:val="nil"/>
              <w:bottom w:val="nil"/>
            </w:tcBorders>
          </w:tcPr>
          <w:p w:rsidR="005E3686" w:rsidRPr="0045144D" w:rsidRDefault="005E3686" w:rsidP="00E71933">
            <w:pPr>
              <w:pStyle w:val="EstilodeTabela2"/>
              <w:tabs>
                <w:tab w:val="left" w:pos="708"/>
                <w:tab w:val="left" w:pos="1416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44D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335</w:t>
            </w:r>
          </w:p>
        </w:tc>
      </w:tr>
      <w:tr w:rsidR="005E3686" w:rsidRPr="0045144D" w:rsidTr="00E71933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pct"/>
            <w:tcBorders>
              <w:top w:val="nil"/>
              <w:bottom w:val="single" w:sz="4" w:space="0" w:color="7F7F7F" w:themeColor="text1" w:themeTint="80"/>
            </w:tcBorders>
          </w:tcPr>
          <w:p w:rsidR="005E3686" w:rsidRPr="0045144D" w:rsidRDefault="0045144D" w:rsidP="00E71933">
            <w:pPr>
              <w:pStyle w:val="EstilodeTabela2"/>
              <w:tabs>
                <w:tab w:val="left" w:pos="708"/>
                <w:tab w:val="left" w:pos="1416"/>
                <w:tab w:val="left" w:pos="2124"/>
              </w:tabs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5144D">
              <w:rPr>
                <w:rFonts w:ascii="Times New Roman" w:hAnsi="Times New Roman" w:cs="Times New Roman"/>
                <w:b w:val="0"/>
                <w:sz w:val="22"/>
                <w:szCs w:val="22"/>
                <w:u w:color="000000"/>
              </w:rPr>
              <w:t>Total de ações</w:t>
            </w:r>
          </w:p>
        </w:tc>
        <w:tc>
          <w:tcPr>
            <w:tcW w:w="639" w:type="pct"/>
            <w:tcBorders>
              <w:top w:val="nil"/>
              <w:bottom w:val="single" w:sz="4" w:space="0" w:color="7F7F7F" w:themeColor="text1" w:themeTint="80"/>
            </w:tcBorders>
          </w:tcPr>
          <w:p w:rsidR="005E3686" w:rsidRPr="0045144D" w:rsidRDefault="005E3686" w:rsidP="00E719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45144D">
              <w:rPr>
                <w:color w:val="000000"/>
                <w:sz w:val="22"/>
                <w:szCs w:val="22"/>
                <w:lang w:val="pt-BR"/>
              </w:rPr>
              <w:t>2799</w:t>
            </w:r>
          </w:p>
        </w:tc>
        <w:tc>
          <w:tcPr>
            <w:tcW w:w="772" w:type="pct"/>
            <w:tcBorders>
              <w:top w:val="nil"/>
              <w:bottom w:val="single" w:sz="4" w:space="0" w:color="7F7F7F" w:themeColor="text1" w:themeTint="80"/>
            </w:tcBorders>
          </w:tcPr>
          <w:p w:rsidR="005E3686" w:rsidRPr="0045144D" w:rsidRDefault="005E3686" w:rsidP="00E719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45144D">
              <w:rPr>
                <w:color w:val="000000"/>
                <w:sz w:val="22"/>
                <w:szCs w:val="22"/>
                <w:lang w:val="pt-BR"/>
              </w:rPr>
              <w:t>2931</w:t>
            </w:r>
          </w:p>
        </w:tc>
        <w:tc>
          <w:tcPr>
            <w:tcW w:w="772" w:type="pct"/>
            <w:tcBorders>
              <w:top w:val="nil"/>
              <w:bottom w:val="single" w:sz="4" w:space="0" w:color="7F7F7F" w:themeColor="text1" w:themeTint="80"/>
            </w:tcBorders>
          </w:tcPr>
          <w:p w:rsidR="005E3686" w:rsidRPr="0045144D" w:rsidRDefault="005E3686" w:rsidP="00E719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45144D">
              <w:rPr>
                <w:color w:val="000000"/>
                <w:sz w:val="22"/>
                <w:szCs w:val="22"/>
                <w:lang w:val="pt-BR"/>
              </w:rPr>
              <w:t>3025</w:t>
            </w:r>
          </w:p>
        </w:tc>
        <w:tc>
          <w:tcPr>
            <w:tcW w:w="772" w:type="pct"/>
            <w:tcBorders>
              <w:top w:val="nil"/>
              <w:bottom w:val="single" w:sz="4" w:space="0" w:color="7F7F7F" w:themeColor="text1" w:themeTint="80"/>
            </w:tcBorders>
          </w:tcPr>
          <w:p w:rsidR="005E3686" w:rsidRPr="0045144D" w:rsidRDefault="005E3686" w:rsidP="00E719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45144D">
              <w:rPr>
                <w:color w:val="000000"/>
                <w:sz w:val="22"/>
                <w:szCs w:val="22"/>
                <w:lang w:val="pt-BR"/>
              </w:rPr>
              <w:t>3227</w:t>
            </w:r>
          </w:p>
        </w:tc>
        <w:tc>
          <w:tcPr>
            <w:tcW w:w="770" w:type="pct"/>
            <w:tcBorders>
              <w:top w:val="nil"/>
              <w:bottom w:val="single" w:sz="4" w:space="0" w:color="7F7F7F" w:themeColor="text1" w:themeTint="80"/>
            </w:tcBorders>
          </w:tcPr>
          <w:p w:rsidR="005E3686" w:rsidRPr="0045144D" w:rsidRDefault="005E3686" w:rsidP="00E71933">
            <w:pPr>
              <w:pStyle w:val="EstilodeTabela2"/>
              <w:tabs>
                <w:tab w:val="left" w:pos="708"/>
                <w:tab w:val="left" w:pos="1416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44D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2390</w:t>
            </w:r>
          </w:p>
        </w:tc>
      </w:tr>
    </w:tbl>
    <w:p w:rsidR="005E3686" w:rsidRPr="0045144D" w:rsidRDefault="0045144D" w:rsidP="005E3686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bCs/>
          <w:u w:color="000000"/>
          <w:lang w:val="pt-BR"/>
        </w:rPr>
      </w:pPr>
      <w:r w:rsidRPr="0045144D">
        <w:rPr>
          <w:rFonts w:ascii="Times New Roman" w:eastAsia="Times New Roman" w:hAnsi="Times New Roman" w:cs="Times New Roman"/>
          <w:bCs/>
          <w:u w:color="000000"/>
          <w:lang w:val="pt-BR"/>
        </w:rPr>
        <w:t xml:space="preserve">Fonte: </w:t>
      </w:r>
      <w:proofErr w:type="spellStart"/>
      <w:r w:rsidRPr="0045144D">
        <w:rPr>
          <w:rFonts w:ascii="Times New Roman" w:eastAsia="Times New Roman" w:hAnsi="Times New Roman" w:cs="Times New Roman"/>
          <w:bCs/>
          <w:u w:color="000000"/>
          <w:lang w:val="pt-BR"/>
        </w:rPr>
        <w:t>Siex</w:t>
      </w:r>
      <w:proofErr w:type="spellEnd"/>
      <w:r w:rsidRPr="0045144D">
        <w:rPr>
          <w:rFonts w:ascii="Times New Roman" w:eastAsia="Times New Roman" w:hAnsi="Times New Roman" w:cs="Times New Roman"/>
          <w:bCs/>
          <w:u w:color="000000"/>
          <w:lang w:val="pt-BR"/>
        </w:rPr>
        <w:t>, UFMG</w:t>
      </w:r>
    </w:p>
    <w:p w:rsidR="0045144D" w:rsidRPr="0045144D" w:rsidRDefault="0045144D" w:rsidP="005E3686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bCs/>
          <w:u w:color="000000"/>
          <w:lang w:val="pt-BR"/>
        </w:rPr>
      </w:pPr>
    </w:p>
    <w:p w:rsidR="0045144D" w:rsidRPr="0045144D" w:rsidRDefault="0045144D" w:rsidP="005E3686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u w:color="000000"/>
          <w:lang w:val="pt-BR"/>
        </w:rPr>
      </w:pPr>
      <w:r w:rsidRPr="0045144D">
        <w:rPr>
          <w:rFonts w:ascii="Times New Roman" w:eastAsia="Times New Roman" w:hAnsi="Times New Roman" w:cs="Times New Roman"/>
          <w:b/>
          <w:bCs/>
          <w:u w:color="000000"/>
          <w:lang w:val="pt-BR"/>
        </w:rPr>
        <w:t xml:space="preserve">Tabela 2 – Composição das equipes das ações de extensão </w:t>
      </w:r>
      <w:r w:rsidR="004F652E">
        <w:rPr>
          <w:rFonts w:ascii="Times New Roman" w:eastAsia="Times New Roman" w:hAnsi="Times New Roman" w:cs="Times New Roman"/>
          <w:b/>
          <w:bCs/>
          <w:u w:color="000000"/>
          <w:lang w:val="pt-BR"/>
        </w:rPr>
        <w:t xml:space="preserve">da UFMG, </w:t>
      </w:r>
      <w:r w:rsidRPr="0045144D">
        <w:rPr>
          <w:rFonts w:ascii="Times New Roman" w:eastAsia="Times New Roman" w:hAnsi="Times New Roman" w:cs="Times New Roman"/>
          <w:b/>
          <w:bCs/>
          <w:u w:color="000000"/>
          <w:lang w:val="pt-BR"/>
        </w:rPr>
        <w:t>em 2017</w:t>
      </w:r>
      <w:r w:rsidR="004F652E">
        <w:rPr>
          <w:rFonts w:ascii="Times New Roman" w:eastAsia="Times New Roman" w:hAnsi="Times New Roman" w:cs="Times New Roman"/>
          <w:b/>
          <w:bCs/>
          <w:u w:color="000000"/>
          <w:lang w:val="pt-BR"/>
        </w:rPr>
        <w:t>.</w:t>
      </w: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4010"/>
        <w:gridCol w:w="2247"/>
        <w:gridCol w:w="2241"/>
      </w:tblGrid>
      <w:tr w:rsidR="0045144D" w:rsidRPr="0045144D" w:rsidTr="00E7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</w:tcPr>
          <w:p w:rsidR="0045144D" w:rsidRPr="0045144D" w:rsidRDefault="0045144D" w:rsidP="005E3686">
            <w:pPr>
              <w:pStyle w:val="Co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 w:val="0"/>
                <w:u w:color="000000"/>
                <w:lang w:val="pt-BR"/>
              </w:rPr>
            </w:pPr>
            <w:r w:rsidRPr="0045144D">
              <w:rPr>
                <w:rFonts w:ascii="Times New Roman" w:eastAsia="Times New Roman" w:hAnsi="Times New Roman" w:cs="Times New Roman"/>
                <w:bCs w:val="0"/>
                <w:u w:color="000000"/>
                <w:lang w:val="pt-BR"/>
              </w:rPr>
              <w:t>Membros das Equipes de trabalho</w:t>
            </w:r>
          </w:p>
        </w:tc>
        <w:tc>
          <w:tcPr>
            <w:tcW w:w="2247" w:type="dxa"/>
          </w:tcPr>
          <w:p w:rsidR="0045144D" w:rsidRPr="0045144D" w:rsidRDefault="0045144D" w:rsidP="005E3686">
            <w:pPr>
              <w:pStyle w:val="Co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u w:color="000000"/>
                <w:lang w:val="pt-BR"/>
              </w:rPr>
            </w:pPr>
            <w:r w:rsidRPr="0045144D">
              <w:rPr>
                <w:rFonts w:ascii="Times New Roman" w:eastAsia="Times New Roman" w:hAnsi="Times New Roman" w:cs="Times New Roman"/>
                <w:bCs w:val="0"/>
                <w:u w:color="000000"/>
                <w:lang w:val="pt-BR"/>
              </w:rPr>
              <w:t xml:space="preserve">Número </w:t>
            </w:r>
          </w:p>
        </w:tc>
        <w:tc>
          <w:tcPr>
            <w:tcW w:w="2241" w:type="dxa"/>
          </w:tcPr>
          <w:p w:rsidR="0045144D" w:rsidRPr="0045144D" w:rsidRDefault="0045144D" w:rsidP="005E3686">
            <w:pPr>
              <w:pStyle w:val="Co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u w:color="000000"/>
                <w:lang w:val="pt-BR"/>
              </w:rPr>
            </w:pPr>
            <w:r w:rsidRPr="0045144D">
              <w:rPr>
                <w:rFonts w:ascii="Times New Roman" w:eastAsia="Times New Roman" w:hAnsi="Times New Roman" w:cs="Times New Roman"/>
                <w:bCs w:val="0"/>
                <w:u w:color="000000"/>
                <w:lang w:val="pt-BR"/>
              </w:rPr>
              <w:t>%</w:t>
            </w:r>
          </w:p>
        </w:tc>
      </w:tr>
      <w:tr w:rsidR="0045144D" w:rsidRPr="0045144D" w:rsidTr="00E7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tcBorders>
              <w:bottom w:val="nil"/>
              <w:right w:val="nil"/>
            </w:tcBorders>
          </w:tcPr>
          <w:p w:rsidR="0045144D" w:rsidRPr="004F652E" w:rsidRDefault="0045144D" w:rsidP="005E3686">
            <w:pPr>
              <w:pStyle w:val="Co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u w:color="000000"/>
                <w:lang w:val="pt-BR"/>
              </w:rPr>
            </w:pPr>
            <w:r w:rsidRPr="004F652E">
              <w:rPr>
                <w:rFonts w:ascii="Times New Roman" w:eastAsia="Times New Roman" w:hAnsi="Times New Roman" w:cs="Times New Roman"/>
                <w:b w:val="0"/>
                <w:bCs w:val="0"/>
                <w:u w:color="000000"/>
                <w:lang w:val="pt-BR"/>
              </w:rPr>
              <w:t>Docente</w:t>
            </w:r>
          </w:p>
        </w:tc>
        <w:tc>
          <w:tcPr>
            <w:tcW w:w="2247" w:type="dxa"/>
            <w:tcBorders>
              <w:left w:val="nil"/>
              <w:bottom w:val="nil"/>
              <w:right w:val="nil"/>
            </w:tcBorders>
          </w:tcPr>
          <w:p w:rsidR="0045144D" w:rsidRPr="0045144D" w:rsidRDefault="0045144D" w:rsidP="005E3686">
            <w:pPr>
              <w:pStyle w:val="Co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u w:color="000000"/>
                <w:lang w:val="pt-BR"/>
              </w:rPr>
            </w:pPr>
            <w:r w:rsidRPr="0045144D">
              <w:rPr>
                <w:rFonts w:ascii="Times New Roman" w:eastAsia="Times New Roman" w:hAnsi="Times New Roman" w:cs="Times New Roman"/>
                <w:bCs/>
                <w:u w:color="000000"/>
                <w:lang w:val="pt-BR"/>
              </w:rPr>
              <w:t>1872</w:t>
            </w:r>
          </w:p>
        </w:tc>
        <w:tc>
          <w:tcPr>
            <w:tcW w:w="2241" w:type="dxa"/>
            <w:tcBorders>
              <w:left w:val="nil"/>
              <w:bottom w:val="nil"/>
            </w:tcBorders>
          </w:tcPr>
          <w:p w:rsidR="0045144D" w:rsidRPr="0045144D" w:rsidRDefault="0045144D" w:rsidP="005E3686">
            <w:pPr>
              <w:pStyle w:val="Co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u w:color="000000"/>
                <w:lang w:val="pt-BR"/>
              </w:rPr>
            </w:pPr>
            <w:r w:rsidRPr="0045144D">
              <w:rPr>
                <w:rFonts w:ascii="Times New Roman" w:eastAsia="Times New Roman" w:hAnsi="Times New Roman" w:cs="Times New Roman"/>
                <w:bCs/>
                <w:u w:color="000000"/>
                <w:lang w:val="pt-BR"/>
              </w:rPr>
              <w:t>23,8</w:t>
            </w:r>
          </w:p>
        </w:tc>
      </w:tr>
      <w:tr w:rsidR="0045144D" w:rsidRPr="0045144D" w:rsidTr="00E71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tcBorders>
              <w:top w:val="nil"/>
              <w:bottom w:val="nil"/>
              <w:right w:val="nil"/>
            </w:tcBorders>
          </w:tcPr>
          <w:p w:rsidR="0045144D" w:rsidRPr="004F652E" w:rsidRDefault="0045144D" w:rsidP="005E3686">
            <w:pPr>
              <w:pStyle w:val="Co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u w:color="000000"/>
                <w:lang w:val="pt-BR"/>
              </w:rPr>
            </w:pPr>
            <w:r w:rsidRPr="004F652E">
              <w:rPr>
                <w:rFonts w:ascii="Times New Roman" w:eastAsia="Times New Roman" w:hAnsi="Times New Roman" w:cs="Times New Roman"/>
                <w:b w:val="0"/>
                <w:bCs w:val="0"/>
                <w:u w:color="000000"/>
                <w:lang w:val="pt-BR"/>
              </w:rPr>
              <w:t>Técnico-administrativo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45144D" w:rsidRPr="0045144D" w:rsidRDefault="0045144D" w:rsidP="005E3686">
            <w:pPr>
              <w:pStyle w:val="Co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u w:color="000000"/>
                <w:lang w:val="pt-BR"/>
              </w:rPr>
            </w:pPr>
            <w:r w:rsidRPr="0045144D">
              <w:rPr>
                <w:rFonts w:ascii="Times New Roman" w:eastAsia="Times New Roman" w:hAnsi="Times New Roman" w:cs="Times New Roman"/>
                <w:bCs/>
                <w:u w:color="000000"/>
                <w:lang w:val="pt-BR"/>
              </w:rPr>
              <w:t>476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</w:tcBorders>
          </w:tcPr>
          <w:p w:rsidR="0045144D" w:rsidRPr="0045144D" w:rsidRDefault="0045144D" w:rsidP="005E3686">
            <w:pPr>
              <w:pStyle w:val="Co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u w:color="000000"/>
                <w:lang w:val="pt-BR"/>
              </w:rPr>
            </w:pPr>
            <w:r w:rsidRPr="0045144D">
              <w:rPr>
                <w:rFonts w:ascii="Times New Roman" w:eastAsia="Times New Roman" w:hAnsi="Times New Roman" w:cs="Times New Roman"/>
                <w:bCs/>
                <w:u w:color="000000"/>
                <w:lang w:val="pt-BR"/>
              </w:rPr>
              <w:t>6,0</w:t>
            </w:r>
          </w:p>
        </w:tc>
      </w:tr>
      <w:tr w:rsidR="0045144D" w:rsidRPr="0045144D" w:rsidTr="00E7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tcBorders>
              <w:top w:val="nil"/>
              <w:bottom w:val="nil"/>
              <w:right w:val="nil"/>
            </w:tcBorders>
          </w:tcPr>
          <w:p w:rsidR="0045144D" w:rsidRPr="004F652E" w:rsidRDefault="0045144D" w:rsidP="005E3686">
            <w:pPr>
              <w:pStyle w:val="Co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u w:color="000000"/>
                <w:lang w:val="pt-BR"/>
              </w:rPr>
            </w:pPr>
            <w:r w:rsidRPr="004F652E">
              <w:rPr>
                <w:rFonts w:ascii="Times New Roman" w:eastAsia="Times New Roman" w:hAnsi="Times New Roman" w:cs="Times New Roman"/>
                <w:b w:val="0"/>
                <w:bCs w:val="0"/>
                <w:u w:color="000000"/>
                <w:lang w:val="pt-BR"/>
              </w:rPr>
              <w:t>Estudante de Pós-Graduação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45144D" w:rsidRPr="0045144D" w:rsidRDefault="0045144D" w:rsidP="005E3686">
            <w:pPr>
              <w:pStyle w:val="Co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u w:color="000000"/>
                <w:lang w:val="pt-BR"/>
              </w:rPr>
            </w:pPr>
            <w:r w:rsidRPr="0045144D">
              <w:rPr>
                <w:rFonts w:ascii="Times New Roman" w:eastAsia="Times New Roman" w:hAnsi="Times New Roman" w:cs="Times New Roman"/>
                <w:bCs/>
                <w:u w:color="000000"/>
                <w:lang w:val="pt-BR"/>
              </w:rPr>
              <w:t>824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</w:tcBorders>
          </w:tcPr>
          <w:p w:rsidR="0045144D" w:rsidRPr="0045144D" w:rsidRDefault="0045144D" w:rsidP="005E3686">
            <w:pPr>
              <w:pStyle w:val="Co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u w:color="000000"/>
                <w:lang w:val="pt-BR"/>
              </w:rPr>
            </w:pPr>
            <w:r w:rsidRPr="0045144D">
              <w:rPr>
                <w:rFonts w:ascii="Times New Roman" w:eastAsia="Times New Roman" w:hAnsi="Times New Roman" w:cs="Times New Roman"/>
                <w:bCs/>
                <w:u w:color="000000"/>
                <w:lang w:val="pt-BR"/>
              </w:rPr>
              <w:t>10,5</w:t>
            </w:r>
          </w:p>
        </w:tc>
      </w:tr>
      <w:tr w:rsidR="0045144D" w:rsidRPr="0045144D" w:rsidTr="00E71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tcBorders>
              <w:top w:val="nil"/>
              <w:bottom w:val="nil"/>
              <w:right w:val="nil"/>
            </w:tcBorders>
          </w:tcPr>
          <w:p w:rsidR="0045144D" w:rsidRPr="004F652E" w:rsidRDefault="0045144D" w:rsidP="005E3686">
            <w:pPr>
              <w:pStyle w:val="Co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u w:color="000000"/>
                <w:lang w:val="pt-BR"/>
              </w:rPr>
            </w:pPr>
            <w:r w:rsidRPr="004F652E">
              <w:rPr>
                <w:rFonts w:ascii="Times New Roman" w:eastAsia="Times New Roman" w:hAnsi="Times New Roman" w:cs="Times New Roman"/>
                <w:b w:val="0"/>
                <w:bCs w:val="0"/>
                <w:u w:color="000000"/>
                <w:lang w:val="pt-BR"/>
              </w:rPr>
              <w:t>Estudante de Graduação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45144D" w:rsidRPr="0045144D" w:rsidRDefault="0045144D" w:rsidP="005E3686">
            <w:pPr>
              <w:pStyle w:val="Co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u w:color="000000"/>
                <w:lang w:val="pt-BR"/>
              </w:rPr>
            </w:pPr>
            <w:r w:rsidRPr="0045144D">
              <w:rPr>
                <w:rFonts w:ascii="Times New Roman" w:eastAsia="Times New Roman" w:hAnsi="Times New Roman" w:cs="Times New Roman"/>
                <w:bCs/>
                <w:u w:color="000000"/>
                <w:lang w:val="pt-BR"/>
              </w:rPr>
              <w:t>3105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</w:tcBorders>
          </w:tcPr>
          <w:p w:rsidR="0045144D" w:rsidRPr="0045144D" w:rsidRDefault="0045144D" w:rsidP="005E3686">
            <w:pPr>
              <w:pStyle w:val="Co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u w:color="000000"/>
                <w:lang w:val="pt-BR"/>
              </w:rPr>
            </w:pPr>
            <w:r w:rsidRPr="0045144D">
              <w:rPr>
                <w:rFonts w:ascii="Times New Roman" w:eastAsia="Times New Roman" w:hAnsi="Times New Roman" w:cs="Times New Roman"/>
                <w:bCs/>
                <w:u w:color="000000"/>
                <w:lang w:val="pt-BR"/>
              </w:rPr>
              <w:t>39,4</w:t>
            </w:r>
          </w:p>
        </w:tc>
      </w:tr>
      <w:tr w:rsidR="0045144D" w:rsidRPr="0045144D" w:rsidTr="00E7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tcBorders>
              <w:top w:val="nil"/>
              <w:bottom w:val="nil"/>
              <w:right w:val="nil"/>
            </w:tcBorders>
          </w:tcPr>
          <w:p w:rsidR="0045144D" w:rsidRPr="004F652E" w:rsidRDefault="0045144D" w:rsidP="005E3686">
            <w:pPr>
              <w:pStyle w:val="Co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u w:color="000000"/>
                <w:lang w:val="pt-BR"/>
              </w:rPr>
            </w:pPr>
            <w:r w:rsidRPr="004F652E">
              <w:rPr>
                <w:rFonts w:ascii="Times New Roman" w:eastAsia="Times New Roman" w:hAnsi="Times New Roman" w:cs="Times New Roman"/>
                <w:b w:val="0"/>
                <w:bCs w:val="0"/>
                <w:u w:color="000000"/>
                <w:lang w:val="pt-BR"/>
              </w:rPr>
              <w:t>Externo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45144D" w:rsidRPr="0045144D" w:rsidRDefault="0045144D" w:rsidP="005E3686">
            <w:pPr>
              <w:pStyle w:val="Co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u w:color="000000"/>
                <w:lang w:val="pt-BR"/>
              </w:rPr>
            </w:pPr>
            <w:r w:rsidRPr="0045144D">
              <w:rPr>
                <w:rFonts w:ascii="Times New Roman" w:eastAsia="Times New Roman" w:hAnsi="Times New Roman" w:cs="Times New Roman"/>
                <w:bCs/>
                <w:u w:color="000000"/>
                <w:lang w:val="pt-BR"/>
              </w:rPr>
              <w:t>1599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</w:tcBorders>
          </w:tcPr>
          <w:p w:rsidR="0045144D" w:rsidRPr="0045144D" w:rsidRDefault="0045144D" w:rsidP="005E3686">
            <w:pPr>
              <w:pStyle w:val="Co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u w:color="000000"/>
                <w:lang w:val="pt-BR"/>
              </w:rPr>
            </w:pPr>
            <w:r w:rsidRPr="0045144D">
              <w:rPr>
                <w:rFonts w:ascii="Times New Roman" w:eastAsia="Times New Roman" w:hAnsi="Times New Roman" w:cs="Times New Roman"/>
                <w:bCs/>
                <w:u w:color="000000"/>
                <w:lang w:val="pt-BR"/>
              </w:rPr>
              <w:t>20,3</w:t>
            </w:r>
          </w:p>
        </w:tc>
      </w:tr>
      <w:tr w:rsidR="0045144D" w:rsidRPr="0045144D" w:rsidTr="00E71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tcBorders>
              <w:top w:val="nil"/>
              <w:bottom w:val="single" w:sz="4" w:space="0" w:color="7F7F7F" w:themeColor="text1" w:themeTint="80"/>
              <w:right w:val="nil"/>
            </w:tcBorders>
          </w:tcPr>
          <w:p w:rsidR="0045144D" w:rsidRPr="0045144D" w:rsidRDefault="0045144D" w:rsidP="005E3686">
            <w:pPr>
              <w:pStyle w:val="Co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 w:val="0"/>
                <w:u w:color="000000"/>
                <w:lang w:val="pt-BR"/>
              </w:rPr>
            </w:pPr>
            <w:r w:rsidRPr="0045144D">
              <w:rPr>
                <w:rFonts w:ascii="Times New Roman" w:eastAsia="Times New Roman" w:hAnsi="Times New Roman" w:cs="Times New Roman"/>
                <w:bCs w:val="0"/>
                <w:u w:color="000000"/>
                <w:lang w:val="pt-BR"/>
              </w:rPr>
              <w:t>Total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45144D" w:rsidRPr="0045144D" w:rsidRDefault="0045144D" w:rsidP="005E3686">
            <w:pPr>
              <w:pStyle w:val="Co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u w:color="000000"/>
                <w:lang w:val="pt-BR"/>
              </w:rPr>
            </w:pPr>
            <w:r w:rsidRPr="0045144D">
              <w:rPr>
                <w:rFonts w:ascii="Times New Roman" w:eastAsia="Times New Roman" w:hAnsi="Times New Roman" w:cs="Times New Roman"/>
                <w:bCs/>
                <w:u w:color="000000"/>
                <w:lang w:val="pt-BR"/>
              </w:rPr>
              <w:t>7876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7F7F7F" w:themeColor="text1" w:themeTint="80"/>
            </w:tcBorders>
          </w:tcPr>
          <w:p w:rsidR="0045144D" w:rsidRPr="0045144D" w:rsidRDefault="0045144D" w:rsidP="005E3686">
            <w:pPr>
              <w:pStyle w:val="Co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u w:color="000000"/>
                <w:lang w:val="pt-BR"/>
              </w:rPr>
            </w:pPr>
            <w:r w:rsidRPr="0045144D">
              <w:rPr>
                <w:rFonts w:ascii="Times New Roman" w:eastAsia="Times New Roman" w:hAnsi="Times New Roman" w:cs="Times New Roman"/>
                <w:bCs/>
                <w:u w:color="000000"/>
                <w:lang w:val="pt-BR"/>
              </w:rPr>
              <w:t>100,0</w:t>
            </w:r>
          </w:p>
        </w:tc>
      </w:tr>
    </w:tbl>
    <w:p w:rsidR="00E71933" w:rsidRPr="0045144D" w:rsidRDefault="00E71933" w:rsidP="00E7193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bCs/>
          <w:u w:color="000000"/>
          <w:lang w:val="pt-BR"/>
        </w:rPr>
      </w:pPr>
      <w:r w:rsidRPr="0045144D">
        <w:rPr>
          <w:rFonts w:ascii="Times New Roman" w:eastAsia="Times New Roman" w:hAnsi="Times New Roman" w:cs="Times New Roman"/>
          <w:bCs/>
          <w:u w:color="000000"/>
          <w:lang w:val="pt-BR"/>
        </w:rPr>
        <w:t xml:space="preserve">Fonte: </w:t>
      </w:r>
      <w:proofErr w:type="spellStart"/>
      <w:r w:rsidRPr="0045144D">
        <w:rPr>
          <w:rFonts w:ascii="Times New Roman" w:eastAsia="Times New Roman" w:hAnsi="Times New Roman" w:cs="Times New Roman"/>
          <w:bCs/>
          <w:u w:color="000000"/>
          <w:lang w:val="pt-BR"/>
        </w:rPr>
        <w:t>Siex</w:t>
      </w:r>
      <w:proofErr w:type="spellEnd"/>
      <w:r w:rsidRPr="0045144D">
        <w:rPr>
          <w:rFonts w:ascii="Times New Roman" w:eastAsia="Times New Roman" w:hAnsi="Times New Roman" w:cs="Times New Roman"/>
          <w:bCs/>
          <w:u w:color="000000"/>
          <w:lang w:val="pt-BR"/>
        </w:rPr>
        <w:t>, UFMG</w:t>
      </w:r>
    </w:p>
    <w:p w:rsidR="0045144D" w:rsidRPr="0045144D" w:rsidRDefault="0045144D" w:rsidP="005E3686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  <w:lang w:val="pt-BR"/>
        </w:rPr>
      </w:pPr>
    </w:p>
    <w:p w:rsidR="005E3686" w:rsidRDefault="001A0525" w:rsidP="005E3686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B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val="pt-BR"/>
        </w:rPr>
        <w:lastRenderedPageBreak/>
        <w:drawing>
          <wp:inline distT="0" distB="0" distL="0" distR="0">
            <wp:extent cx="5303520" cy="3249637"/>
            <wp:effectExtent l="0" t="0" r="17780" b="1460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71933" w:rsidRPr="0045144D" w:rsidRDefault="00E71933" w:rsidP="00E7193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bCs/>
          <w:u w:color="000000"/>
          <w:lang w:val="pt-BR"/>
        </w:rPr>
      </w:pPr>
      <w:r w:rsidRPr="0045144D">
        <w:rPr>
          <w:rFonts w:ascii="Times New Roman" w:eastAsia="Times New Roman" w:hAnsi="Times New Roman" w:cs="Times New Roman"/>
          <w:bCs/>
          <w:u w:color="000000"/>
          <w:lang w:val="pt-BR"/>
        </w:rPr>
        <w:t xml:space="preserve">Fonte: </w:t>
      </w:r>
      <w:proofErr w:type="spellStart"/>
      <w:r w:rsidRPr="0045144D">
        <w:rPr>
          <w:rFonts w:ascii="Times New Roman" w:eastAsia="Times New Roman" w:hAnsi="Times New Roman" w:cs="Times New Roman"/>
          <w:bCs/>
          <w:u w:color="000000"/>
          <w:lang w:val="pt-BR"/>
        </w:rPr>
        <w:t>Siex</w:t>
      </w:r>
      <w:proofErr w:type="spellEnd"/>
      <w:r w:rsidRPr="0045144D">
        <w:rPr>
          <w:rFonts w:ascii="Times New Roman" w:eastAsia="Times New Roman" w:hAnsi="Times New Roman" w:cs="Times New Roman"/>
          <w:bCs/>
          <w:u w:color="000000"/>
          <w:lang w:val="pt-BR"/>
        </w:rPr>
        <w:t>, UFMG</w:t>
      </w:r>
    </w:p>
    <w:p w:rsidR="00E71933" w:rsidRPr="00FB63FA" w:rsidRDefault="00E71933" w:rsidP="005E3686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BR"/>
        </w:rPr>
      </w:pPr>
    </w:p>
    <w:p w:rsidR="005E3686" w:rsidRPr="00FB63FA" w:rsidRDefault="001A0525" w:rsidP="005E3686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BR"/>
        </w:rPr>
      </w:pPr>
      <w:r w:rsidRPr="001A0525">
        <w:rPr>
          <w:rFonts w:ascii="Times New Roman" w:eastAsia="Times New Roman" w:hAnsi="Times New Roman" w:cs="Times New Roman"/>
          <w:noProof/>
          <w:sz w:val="24"/>
          <w:szCs w:val="24"/>
          <w:u w:color="231F20"/>
          <w:lang w:val="pt-B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color="231F20"/>
          <w:lang w:val="pt-BR"/>
        </w:rPr>
        <w:drawing>
          <wp:inline distT="0" distB="0" distL="0" distR="0" wp14:anchorId="193D2EEF" wp14:editId="5B3E53A0">
            <wp:extent cx="5500370" cy="3376246"/>
            <wp:effectExtent l="0" t="0" r="11430" b="1524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E71933" w:rsidRPr="0045144D" w:rsidRDefault="00E71933" w:rsidP="00E7193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bCs/>
          <w:u w:color="000000"/>
          <w:lang w:val="pt-BR"/>
        </w:rPr>
      </w:pPr>
      <w:r w:rsidRPr="0045144D">
        <w:rPr>
          <w:rFonts w:ascii="Times New Roman" w:eastAsia="Times New Roman" w:hAnsi="Times New Roman" w:cs="Times New Roman"/>
          <w:bCs/>
          <w:u w:color="000000"/>
          <w:lang w:val="pt-BR"/>
        </w:rPr>
        <w:t xml:space="preserve">Fonte: </w:t>
      </w:r>
      <w:proofErr w:type="spellStart"/>
      <w:r w:rsidRPr="0045144D">
        <w:rPr>
          <w:rFonts w:ascii="Times New Roman" w:eastAsia="Times New Roman" w:hAnsi="Times New Roman" w:cs="Times New Roman"/>
          <w:bCs/>
          <w:u w:color="000000"/>
          <w:lang w:val="pt-BR"/>
        </w:rPr>
        <w:t>Siex</w:t>
      </w:r>
      <w:proofErr w:type="spellEnd"/>
      <w:r w:rsidRPr="0045144D">
        <w:rPr>
          <w:rFonts w:ascii="Times New Roman" w:eastAsia="Times New Roman" w:hAnsi="Times New Roman" w:cs="Times New Roman"/>
          <w:bCs/>
          <w:u w:color="000000"/>
          <w:lang w:val="pt-BR"/>
        </w:rPr>
        <w:t>, UFMG</w:t>
      </w:r>
    </w:p>
    <w:p w:rsidR="005E3686" w:rsidRPr="00FB63FA" w:rsidRDefault="005E3686" w:rsidP="005E3686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BR"/>
        </w:rPr>
      </w:pPr>
    </w:p>
    <w:p w:rsidR="005E3686" w:rsidRPr="00FB63FA" w:rsidRDefault="005E3686" w:rsidP="005E3686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pt-BR"/>
        </w:rPr>
      </w:pPr>
    </w:p>
    <w:p w:rsidR="005E3686" w:rsidRPr="00FB63FA" w:rsidRDefault="005E3686" w:rsidP="005E3686">
      <w:pPr>
        <w:pStyle w:val="Padr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3FA">
        <w:rPr>
          <w:rFonts w:ascii="Times New Roman" w:eastAsia="Arial Unicode MS" w:hAnsi="Times New Roman" w:cs="Times New Roman"/>
          <w:color w:val="030B18"/>
          <w:sz w:val="24"/>
          <w:szCs w:val="24"/>
        </w:rPr>
        <w:br w:type="page"/>
      </w:r>
    </w:p>
    <w:p w:rsidR="005E3686" w:rsidRPr="00FB63FA" w:rsidRDefault="005E3686" w:rsidP="005E3686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pt-BR"/>
        </w:rPr>
      </w:pPr>
      <w:r w:rsidRPr="00FB63FA">
        <w:rPr>
          <w:rFonts w:ascii="Times New Roman" w:hAnsi="Times New Roman" w:cs="Times New Roman"/>
          <w:b/>
          <w:bCs/>
          <w:sz w:val="24"/>
          <w:szCs w:val="24"/>
          <w:u w:color="000000"/>
          <w:lang w:val="pt-BR"/>
        </w:rPr>
        <w:lastRenderedPageBreak/>
        <w:t>OBJETIVOS GERAIS</w:t>
      </w:r>
    </w:p>
    <w:p w:rsidR="005E3686" w:rsidRPr="00FB63FA" w:rsidRDefault="005E3686" w:rsidP="005E3686">
      <w:pPr>
        <w:pStyle w:val="Corpo"/>
        <w:widowControl w:val="0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mbria" w:hAnsi="Times New Roman" w:cs="Times New Roman"/>
          <w:color w:val="1A1A1A"/>
          <w:sz w:val="24"/>
          <w:szCs w:val="24"/>
          <w:u w:color="1A1A1A"/>
          <w:lang w:val="pt-BR"/>
        </w:rPr>
      </w:pPr>
      <w:r w:rsidRPr="00FB63FA">
        <w:rPr>
          <w:rFonts w:ascii="Times New Roman" w:eastAsia="Cambria" w:hAnsi="Times New Roman" w:cs="Times New Roman"/>
          <w:color w:val="3E3A34"/>
          <w:sz w:val="24"/>
          <w:szCs w:val="24"/>
          <w:u w:color="3E3A34"/>
          <w:lang w:val="pt-BR"/>
        </w:rPr>
        <w:t>Fo</w:t>
      </w:r>
      <w:r w:rsidRPr="00FB63FA"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  <w:t xml:space="preserve">rtalecer a Extensão Universitária, por meio de ações e processos que tomem a democratização do conhecimento - </w:t>
      </w:r>
      <w:r w:rsidRPr="00FB63FA">
        <w:rPr>
          <w:rFonts w:ascii="Times New Roman" w:eastAsia="Cambria" w:hAnsi="Times New Roman" w:cs="Times New Roman"/>
          <w:color w:val="1A1A1A"/>
          <w:sz w:val="24"/>
          <w:szCs w:val="24"/>
          <w:u w:color="1A1A1A"/>
          <w:lang w:val="pt-BR"/>
        </w:rPr>
        <w:t>em ambos os aspectos de produção e divulgação</w:t>
      </w:r>
      <w:r w:rsidRPr="00FB63FA"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  <w:t xml:space="preserve"> - como princípio central, para que a UFMG cumpra sua função pública e sustente sua relevância social</w:t>
      </w:r>
      <w:r w:rsidRPr="00FB63FA">
        <w:rPr>
          <w:rFonts w:ascii="Times New Roman" w:eastAsia="Cambria" w:hAnsi="Times New Roman" w:cs="Times New Roman"/>
          <w:color w:val="1A1A1A"/>
          <w:sz w:val="24"/>
          <w:szCs w:val="24"/>
          <w:u w:color="1A1A1A"/>
          <w:lang w:val="pt-BR"/>
        </w:rPr>
        <w:t>.</w:t>
      </w:r>
    </w:p>
    <w:p w:rsidR="005E3686" w:rsidRPr="005C14FC" w:rsidRDefault="005E3686" w:rsidP="005E3686">
      <w:pPr>
        <w:pStyle w:val="Corpo"/>
        <w:widowControl w:val="0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</w:pP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>Ampliar a aproximação a UFMG da sociedade em geral, numa perspectiva interdisciplinar apoiada no compromisso com o saber, o fazer e o criar, em constante diálogo com os saberes científicos e</w:t>
      </w:r>
      <w:r w:rsidR="00C43F71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 </w:t>
      </w: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não-científicos, formação </w:t>
      </w:r>
      <w:r w:rsidR="0083553C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acadêmica e cidadã </w:t>
      </w: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dos estudantes e transformação social. </w:t>
      </w:r>
    </w:p>
    <w:p w:rsidR="005C14FC" w:rsidRPr="005E3686" w:rsidRDefault="005C14FC" w:rsidP="005C14FC">
      <w:pPr>
        <w:pStyle w:val="Corpo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</w:pPr>
    </w:p>
    <w:p w:rsidR="005E3686" w:rsidRPr="00FB63FA" w:rsidRDefault="005E3686" w:rsidP="005E3686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231F20"/>
          <w:lang w:val="pt-BR"/>
        </w:rPr>
      </w:pPr>
      <w:r w:rsidRPr="00FB63FA">
        <w:rPr>
          <w:rFonts w:ascii="Times New Roman" w:eastAsia="Cambria" w:hAnsi="Times New Roman" w:cs="Times New Roman"/>
          <w:b/>
          <w:bCs/>
          <w:sz w:val="24"/>
          <w:szCs w:val="24"/>
          <w:u w:color="1A1A1A"/>
          <w:lang w:val="pt-BR"/>
        </w:rPr>
        <w:t>OBJETIVOS ESPECÍFICOS</w:t>
      </w:r>
    </w:p>
    <w:p w:rsidR="005E3686" w:rsidRPr="00FB63FA" w:rsidRDefault="005E3686" w:rsidP="005E3686">
      <w:pPr>
        <w:pStyle w:val="Corpo"/>
        <w:widowControl w:val="0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</w:pP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Consolidar a Extensão Universitária como </w:t>
      </w:r>
      <w:r w:rsidR="0083553C">
        <w:rPr>
          <w:rFonts w:ascii="Times New Roman" w:hAnsi="Times New Roman" w:cs="Times New Roman"/>
          <w:sz w:val="24"/>
          <w:szCs w:val="24"/>
          <w:u w:color="231F20"/>
          <w:lang w:val="pt-BR"/>
        </w:rPr>
        <w:t>dimensão acadêmica</w:t>
      </w:r>
    </w:p>
    <w:p w:rsidR="005E3686" w:rsidRPr="00FB63FA" w:rsidRDefault="005E3686" w:rsidP="005E3686">
      <w:pPr>
        <w:pStyle w:val="Corpo"/>
        <w:widowControl w:val="0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</w:pPr>
      <w:r w:rsidRPr="00FB63FA"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  <w:t>Consolidar o trabalho das redes interdisciplinares de programas e projetos de extensão.</w:t>
      </w:r>
    </w:p>
    <w:p w:rsidR="005E3686" w:rsidRPr="00FB63FA" w:rsidRDefault="005E3686" w:rsidP="005E3686">
      <w:pPr>
        <w:pStyle w:val="Corpo"/>
        <w:widowControl w:val="0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</w:pP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Consolidar e ampliar as estratégias direcionadas a </w:t>
      </w:r>
      <w:r w:rsidRPr="00FB63FA"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  <w:t xml:space="preserve">incorporação curricular de atividades de Extensão, assegurando sua inserção nos projetos pedagógicos de todos os cursos de graduação, a partir de perspectivas </w:t>
      </w:r>
      <w:proofErr w:type="spellStart"/>
      <w:r w:rsidRPr="00FB63FA"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  <w:t>inter</w:t>
      </w:r>
      <w:proofErr w:type="spellEnd"/>
      <w:r w:rsidRPr="00FB63FA"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  <w:t xml:space="preserve"> e transdisciplinares. </w:t>
      </w:r>
    </w:p>
    <w:p w:rsidR="005E3686" w:rsidRPr="00FB63FA" w:rsidRDefault="005E3686" w:rsidP="005E3686">
      <w:pPr>
        <w:pStyle w:val="Corpo"/>
        <w:widowControl w:val="0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mbria" w:hAnsi="Times New Roman" w:cs="Times New Roman"/>
          <w:sz w:val="24"/>
          <w:szCs w:val="24"/>
          <w:u w:color="3E3A34"/>
          <w:lang w:val="pt-BR"/>
        </w:rPr>
      </w:pPr>
      <w:r w:rsidRPr="00FB63FA">
        <w:rPr>
          <w:rFonts w:ascii="Times New Roman" w:eastAsia="Cambria" w:hAnsi="Times New Roman" w:cs="Times New Roman"/>
          <w:sz w:val="24"/>
          <w:szCs w:val="24"/>
          <w:u w:color="3E3A34"/>
          <w:lang w:val="pt-BR"/>
        </w:rPr>
        <w:t>Aprimorar os processos de acompanhamento e avaliação da Extensão Universitária na UFMG.</w:t>
      </w:r>
    </w:p>
    <w:p w:rsidR="005E3686" w:rsidRPr="00FB63FA" w:rsidRDefault="005E3686" w:rsidP="005E3686">
      <w:pPr>
        <w:pStyle w:val="Corpo"/>
        <w:widowControl w:val="0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231F20"/>
          <w:lang w:val="pt-BR"/>
        </w:rPr>
      </w:pPr>
      <w:r w:rsidRPr="00FB63FA">
        <w:rPr>
          <w:rFonts w:ascii="Times New Roman" w:hAnsi="Times New Roman" w:cs="Times New Roman"/>
          <w:sz w:val="24"/>
          <w:szCs w:val="24"/>
          <w:u w:color="231F20"/>
          <w:lang w:val="pt-BR"/>
        </w:rPr>
        <w:t xml:space="preserve">Promover e participar de espaços de discussão, elaboração e execução de políticas públicas associadas ao desenvolvimento econômico, social, cultural e político. </w:t>
      </w:r>
    </w:p>
    <w:p w:rsidR="005E3686" w:rsidRPr="00FB63FA" w:rsidRDefault="005E3686" w:rsidP="005E3686">
      <w:pPr>
        <w:pStyle w:val="Corpo"/>
        <w:widowControl w:val="0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</w:pPr>
      <w:r w:rsidRPr="00FB63FA"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  <w:t xml:space="preserve">Promover metodologias inovadoras </w:t>
      </w:r>
      <w:r w:rsidRPr="00FB63FA">
        <w:rPr>
          <w:rFonts w:ascii="Times New Roman" w:eastAsia="Cambria" w:hAnsi="Times New Roman" w:cs="Times New Roman"/>
          <w:sz w:val="24"/>
          <w:szCs w:val="24"/>
          <w:u w:color="1A1A1A"/>
          <w:lang w:val="pt-BR"/>
        </w:rPr>
        <w:t>que articulem Extensão, Pesquisa e Ensino</w:t>
      </w:r>
      <w:r w:rsidRPr="00FB63FA"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  <w:t>, reconhecendo o papel formador da Extensão.</w:t>
      </w:r>
    </w:p>
    <w:p w:rsidR="005E3686" w:rsidRPr="00FB63FA" w:rsidRDefault="005E3686" w:rsidP="005E3686">
      <w:pPr>
        <w:pStyle w:val="Corpo"/>
        <w:widowControl w:val="0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</w:pPr>
      <w:r w:rsidRPr="00FB63FA"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  <w:t xml:space="preserve">Ampliar as ações conjuntas com outras </w:t>
      </w:r>
      <w:proofErr w:type="spellStart"/>
      <w:r w:rsidRPr="00FB63FA"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  <w:t>Pró-Reitorias</w:t>
      </w:r>
      <w:proofErr w:type="spellEnd"/>
      <w:r w:rsidRPr="00FB63FA"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  <w:t xml:space="preserve"> acadêmicas para que a </w:t>
      </w:r>
      <w:proofErr w:type="spellStart"/>
      <w:r w:rsidRPr="00FB63FA"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  <w:t>indissociabilidade</w:t>
      </w:r>
      <w:proofErr w:type="spellEnd"/>
      <w:r w:rsidRPr="00FB63FA"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  <w:t xml:space="preserve"> ensino, pesquisa e extensão possa se traduzir resultados positivos na formação discente.</w:t>
      </w:r>
    </w:p>
    <w:p w:rsidR="005E3686" w:rsidRPr="00C43F71" w:rsidRDefault="005E3686" w:rsidP="005E3686">
      <w:pPr>
        <w:pStyle w:val="Corpo"/>
        <w:widowControl w:val="0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mbria" w:hAnsi="Times New Roman" w:cs="Times New Roman"/>
          <w:color w:val="auto"/>
          <w:sz w:val="24"/>
          <w:szCs w:val="24"/>
          <w:u w:color="3E3A34"/>
          <w:lang w:val="pt-BR"/>
        </w:rPr>
      </w:pPr>
      <w:r w:rsidRPr="00FB63FA">
        <w:rPr>
          <w:rFonts w:ascii="Times New Roman" w:eastAsia="Cambria" w:hAnsi="Times New Roman" w:cs="Times New Roman"/>
          <w:sz w:val="24"/>
          <w:szCs w:val="24"/>
          <w:u w:color="000000"/>
          <w:lang w:val="pt-BR"/>
        </w:rPr>
        <w:t xml:space="preserve">Incorporar novas pautas ao debate da Extensão, como a interface com a tecnologia, com os saberes dos sujeitos diversos presentes na universidade e com a pluralidade </w:t>
      </w:r>
      <w:r w:rsidRPr="00C43F71">
        <w:rPr>
          <w:rFonts w:ascii="Times New Roman" w:eastAsia="Cambria" w:hAnsi="Times New Roman" w:cs="Times New Roman"/>
          <w:color w:val="auto"/>
          <w:sz w:val="24"/>
          <w:szCs w:val="24"/>
          <w:u w:color="000000"/>
          <w:lang w:val="pt-BR"/>
        </w:rPr>
        <w:t>de linguagens para interação com a sociedade</w:t>
      </w:r>
      <w:r w:rsidRPr="00C43F71">
        <w:rPr>
          <w:rFonts w:ascii="Times New Roman" w:eastAsia="Cambria" w:hAnsi="Times New Roman" w:cs="Times New Roman"/>
          <w:color w:val="auto"/>
          <w:sz w:val="24"/>
          <w:szCs w:val="24"/>
          <w:u w:color="3E3A34"/>
          <w:lang w:val="pt-BR"/>
        </w:rPr>
        <w:t>.</w:t>
      </w:r>
    </w:p>
    <w:p w:rsidR="00B34E90" w:rsidRDefault="005E3686" w:rsidP="00B34E90">
      <w:pPr>
        <w:pStyle w:val="Corpo"/>
        <w:widowControl w:val="0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mbria" w:hAnsi="Times New Roman" w:cs="Times New Roman"/>
          <w:color w:val="auto"/>
          <w:sz w:val="24"/>
          <w:szCs w:val="24"/>
          <w:u w:color="3E3A34"/>
          <w:lang w:val="pt-BR"/>
        </w:rPr>
      </w:pPr>
      <w:r w:rsidRPr="00C43F71">
        <w:rPr>
          <w:rFonts w:ascii="Times New Roman" w:eastAsia="Cambria" w:hAnsi="Times New Roman" w:cs="Times New Roman"/>
          <w:color w:val="auto"/>
          <w:sz w:val="24"/>
          <w:szCs w:val="24"/>
          <w:u w:color="3E3A34"/>
          <w:lang w:val="pt-BR"/>
        </w:rPr>
        <w:t xml:space="preserve">Aprimorar o processo de aproximação à </w:t>
      </w:r>
      <w:r w:rsidR="00B34E90" w:rsidRPr="00C43F71">
        <w:rPr>
          <w:rFonts w:ascii="Times New Roman" w:eastAsia="Cambria" w:hAnsi="Times New Roman" w:cs="Times New Roman"/>
          <w:color w:val="auto"/>
          <w:sz w:val="24"/>
          <w:szCs w:val="24"/>
          <w:u w:color="3E3A34"/>
          <w:lang w:val="pt-BR"/>
        </w:rPr>
        <w:t>pós-graduação</w:t>
      </w:r>
      <w:r w:rsidRPr="00C43F71">
        <w:rPr>
          <w:rFonts w:ascii="Times New Roman" w:eastAsia="Cambria" w:hAnsi="Times New Roman" w:cs="Times New Roman"/>
          <w:color w:val="auto"/>
          <w:sz w:val="24"/>
          <w:szCs w:val="24"/>
          <w:u w:color="3E3A34"/>
          <w:lang w:val="pt-BR"/>
        </w:rPr>
        <w:t xml:space="preserve"> com vistas a ampliar o numero de estudantes de </w:t>
      </w:r>
      <w:r w:rsidR="00B34E90" w:rsidRPr="00C43F71">
        <w:rPr>
          <w:rFonts w:ascii="Times New Roman" w:eastAsia="Cambria" w:hAnsi="Times New Roman" w:cs="Times New Roman"/>
          <w:color w:val="auto"/>
          <w:sz w:val="24"/>
          <w:szCs w:val="24"/>
          <w:u w:color="3E3A34"/>
          <w:lang w:val="pt-BR"/>
        </w:rPr>
        <w:t>pós-graduação</w:t>
      </w:r>
      <w:r w:rsidRPr="00C43F71">
        <w:rPr>
          <w:rFonts w:ascii="Times New Roman" w:eastAsia="Cambria" w:hAnsi="Times New Roman" w:cs="Times New Roman"/>
          <w:color w:val="auto"/>
          <w:sz w:val="24"/>
          <w:szCs w:val="24"/>
          <w:u w:color="3E3A34"/>
          <w:lang w:val="pt-BR"/>
        </w:rPr>
        <w:t xml:space="preserve"> vinculados a ações de extensão.</w:t>
      </w:r>
    </w:p>
    <w:p w:rsidR="00C05AB1" w:rsidRPr="00B34E90" w:rsidRDefault="00B34E90" w:rsidP="00B34E90">
      <w:pPr>
        <w:pStyle w:val="Corpo"/>
        <w:widowControl w:val="0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mbria" w:hAnsi="Times New Roman" w:cs="Times New Roman"/>
          <w:color w:val="auto"/>
          <w:sz w:val="24"/>
          <w:szCs w:val="24"/>
          <w:u w:color="3E3A34"/>
          <w:lang w:val="pt-BR"/>
        </w:rPr>
      </w:pPr>
      <w:r>
        <w:rPr>
          <w:rFonts w:ascii="Times New Roman" w:eastAsia="Cambria" w:hAnsi="Times New Roman" w:cs="Times New Roman"/>
          <w:color w:val="auto"/>
          <w:sz w:val="24"/>
          <w:szCs w:val="24"/>
          <w:u w:color="3E3A34"/>
          <w:lang w:val="pt-BR"/>
        </w:rPr>
        <w:t>A</w:t>
      </w:r>
      <w:r w:rsidR="005E3686" w:rsidRPr="00B34E90">
        <w:rPr>
          <w:rFonts w:ascii="Times New Roman" w:eastAsia="Cambria" w:hAnsi="Times New Roman" w:cs="Times New Roman"/>
          <w:color w:val="auto"/>
          <w:sz w:val="24"/>
          <w:szCs w:val="24"/>
          <w:u w:color="3E3A34"/>
          <w:lang w:val="pt-BR"/>
        </w:rPr>
        <w:t xml:space="preserve">mpliar o processo de diálogo da universidade com movimentos sociais e outros setores da sociedade </w:t>
      </w:r>
      <w:r w:rsidR="00403191" w:rsidRPr="00B34E90">
        <w:rPr>
          <w:rFonts w:ascii="Times New Roman" w:eastAsia="Cambria" w:hAnsi="Times New Roman" w:cs="Times New Roman"/>
          <w:color w:val="auto"/>
          <w:sz w:val="24"/>
          <w:szCs w:val="24"/>
          <w:u w:color="3E3A34"/>
          <w:lang w:val="pt-BR"/>
        </w:rPr>
        <w:t xml:space="preserve">(no contexto brasileiro e internacional) </w:t>
      </w:r>
      <w:r w:rsidR="005E3686" w:rsidRPr="00B34E90">
        <w:rPr>
          <w:rFonts w:ascii="Times New Roman" w:eastAsia="Cambria" w:hAnsi="Times New Roman" w:cs="Times New Roman"/>
          <w:color w:val="auto"/>
          <w:sz w:val="24"/>
          <w:szCs w:val="24"/>
          <w:u w:color="3E3A34"/>
          <w:lang w:val="pt-BR"/>
        </w:rPr>
        <w:t xml:space="preserve">para a promoção de ações </w:t>
      </w:r>
      <w:r w:rsidR="005E3686" w:rsidRPr="00B34E90">
        <w:rPr>
          <w:rFonts w:ascii="Times New Roman" w:eastAsia="Cambria" w:hAnsi="Times New Roman" w:cs="Times New Roman"/>
          <w:color w:val="auto"/>
          <w:sz w:val="24"/>
          <w:szCs w:val="24"/>
          <w:u w:color="3E3A34"/>
          <w:lang w:val="pt-BR"/>
        </w:rPr>
        <w:lastRenderedPageBreak/>
        <w:t xml:space="preserve">de </w:t>
      </w:r>
      <w:r w:rsidR="00403191" w:rsidRPr="00B34E90">
        <w:rPr>
          <w:rFonts w:ascii="Times New Roman" w:eastAsia="Cambria" w:hAnsi="Times New Roman" w:cs="Times New Roman"/>
          <w:color w:val="auto"/>
          <w:sz w:val="24"/>
          <w:szCs w:val="24"/>
          <w:u w:color="3E3A34"/>
          <w:lang w:val="pt-BR"/>
        </w:rPr>
        <w:t xml:space="preserve">promoção da diversidade, igualdade e justiça social. </w:t>
      </w:r>
    </w:p>
    <w:p w:rsidR="00C43F71" w:rsidRDefault="00FC2CC8" w:rsidP="005E3686">
      <w:pPr>
        <w:pStyle w:val="Corpo"/>
        <w:widowControl w:val="0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mbria" w:hAnsi="Times New Roman" w:cs="Times New Roman"/>
          <w:color w:val="auto"/>
          <w:sz w:val="24"/>
          <w:szCs w:val="24"/>
          <w:u w:color="3E3A34"/>
          <w:lang w:val="pt-BR"/>
        </w:rPr>
      </w:pPr>
      <w:r>
        <w:rPr>
          <w:rFonts w:ascii="Times New Roman" w:eastAsia="Cambria" w:hAnsi="Times New Roman" w:cs="Times New Roman"/>
          <w:color w:val="auto"/>
          <w:sz w:val="24"/>
          <w:szCs w:val="24"/>
          <w:u w:color="3E3A34"/>
          <w:lang w:val="pt-BR"/>
        </w:rPr>
        <w:t>Ampliar</w:t>
      </w:r>
      <w:r w:rsidR="00C43F71">
        <w:rPr>
          <w:rFonts w:ascii="Times New Roman" w:eastAsia="Cambria" w:hAnsi="Times New Roman" w:cs="Times New Roman"/>
          <w:color w:val="auto"/>
          <w:sz w:val="24"/>
          <w:szCs w:val="24"/>
          <w:u w:color="3E3A34"/>
          <w:lang w:val="pt-BR"/>
        </w:rPr>
        <w:t xml:space="preserve"> a relação entre universidade e educação básica por meio de ações baseadas nas necessidades das redes públicas de ensino, democratização do conhecimento acadêmico, formação de professores e gestores e sensibilização dos jovens da educação básica para o acesso á educação superior.</w:t>
      </w:r>
    </w:p>
    <w:p w:rsidR="0083553C" w:rsidRDefault="0083553C" w:rsidP="005E3686">
      <w:pPr>
        <w:pStyle w:val="Corpo"/>
        <w:widowControl w:val="0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mbria" w:hAnsi="Times New Roman" w:cs="Times New Roman"/>
          <w:color w:val="auto"/>
          <w:sz w:val="24"/>
          <w:szCs w:val="24"/>
          <w:u w:color="3E3A34"/>
          <w:lang w:val="pt-BR"/>
        </w:rPr>
      </w:pPr>
      <w:r>
        <w:rPr>
          <w:rFonts w:ascii="Times New Roman" w:eastAsia="Cambria" w:hAnsi="Times New Roman" w:cs="Times New Roman"/>
          <w:color w:val="auto"/>
          <w:sz w:val="24"/>
          <w:szCs w:val="24"/>
          <w:u w:color="3E3A34"/>
          <w:lang w:val="pt-BR"/>
        </w:rPr>
        <w:t>Aprimorar política de democratização da ciência com foco na socialização de sujeitos diversos para o fazer científico e utilização de linguagens diversas para a comunicação da ciência.</w:t>
      </w:r>
    </w:p>
    <w:p w:rsidR="00FC2CC8" w:rsidRPr="00C43F71" w:rsidRDefault="00FC2CC8" w:rsidP="005E3686">
      <w:pPr>
        <w:pStyle w:val="Corpo"/>
        <w:widowControl w:val="0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mbria" w:hAnsi="Times New Roman" w:cs="Times New Roman"/>
          <w:color w:val="auto"/>
          <w:sz w:val="24"/>
          <w:szCs w:val="24"/>
          <w:u w:color="3E3A34"/>
          <w:lang w:val="pt-BR"/>
        </w:rPr>
      </w:pPr>
      <w:r>
        <w:rPr>
          <w:rFonts w:ascii="Times New Roman" w:eastAsia="Cambria" w:hAnsi="Times New Roman" w:cs="Times New Roman"/>
          <w:color w:val="auto"/>
          <w:sz w:val="24"/>
          <w:szCs w:val="24"/>
          <w:u w:color="3E3A34"/>
          <w:lang w:val="pt-BR"/>
        </w:rPr>
        <w:t xml:space="preserve">Aprimorar política de informação, acervo e memória da extensão universitária. </w:t>
      </w:r>
    </w:p>
    <w:sectPr w:rsidR="00FC2CC8" w:rsidRPr="00C43F71" w:rsidSect="008B746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72405"/>
    <w:multiLevelType w:val="hybridMultilevel"/>
    <w:tmpl w:val="242618C0"/>
    <w:lvl w:ilvl="0" w:tplc="23A03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140B84"/>
    <w:multiLevelType w:val="hybridMultilevel"/>
    <w:tmpl w:val="D8DAE0EE"/>
    <w:lvl w:ilvl="0" w:tplc="B84CB7E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00193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363AA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80ECD2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E21F7E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DE163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10954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A09438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9631F8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E1A7117"/>
    <w:multiLevelType w:val="hybridMultilevel"/>
    <w:tmpl w:val="9E967502"/>
    <w:lvl w:ilvl="0" w:tplc="23A03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86"/>
    <w:rsid w:val="001A0525"/>
    <w:rsid w:val="0027119C"/>
    <w:rsid w:val="003D10E3"/>
    <w:rsid w:val="00403191"/>
    <w:rsid w:val="00403949"/>
    <w:rsid w:val="0045144D"/>
    <w:rsid w:val="004F652E"/>
    <w:rsid w:val="005C14FC"/>
    <w:rsid w:val="005E3686"/>
    <w:rsid w:val="00700504"/>
    <w:rsid w:val="0083553C"/>
    <w:rsid w:val="00870D88"/>
    <w:rsid w:val="008B7466"/>
    <w:rsid w:val="00B34E90"/>
    <w:rsid w:val="00C43F71"/>
    <w:rsid w:val="00E71933"/>
    <w:rsid w:val="00FA2667"/>
    <w:rsid w:val="00FC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1F4A"/>
  <w15:docId w15:val="{2F2F6119-5685-2643-92E4-F0945850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E36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rsid w:val="005E36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5E36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 w:eastAsia="pt-BR"/>
    </w:rPr>
  </w:style>
  <w:style w:type="paragraph" w:customStyle="1" w:styleId="Padro">
    <w:name w:val="Padrão"/>
    <w:rsid w:val="005E36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pt-BR"/>
    </w:rPr>
  </w:style>
  <w:style w:type="paragraph" w:customStyle="1" w:styleId="EstilodeTabela2">
    <w:name w:val="Estilo de Tabela 2"/>
    <w:rsid w:val="005E36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005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050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050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05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050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05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504"/>
    <w:rPr>
      <w:rFonts w:ascii="Tahoma" w:eastAsia="Arial Unicode MS" w:hAnsi="Tahoma" w:cs="Tahoma"/>
      <w:sz w:val="16"/>
      <w:szCs w:val="16"/>
      <w:bdr w:val="nil"/>
      <w:lang w:val="en-US"/>
    </w:rPr>
  </w:style>
  <w:style w:type="table" w:styleId="TabelaSimples2">
    <w:name w:val="Plain Table 2"/>
    <w:basedOn w:val="Tabelanormal"/>
    <w:uiPriority w:val="42"/>
    <w:rsid w:val="004514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comgrade">
    <w:name w:val="Table Grid"/>
    <w:basedOn w:val="Tabelanormal"/>
    <w:uiPriority w:val="39"/>
    <w:unhideWhenUsed/>
    <w:rsid w:val="0045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b="1"/>
              <a:t>Gráfico 1 - Áreas Temáticas Ações de Extensão - 2017</a:t>
            </a:r>
          </a:p>
        </c:rich>
      </c:tx>
      <c:layout>
        <c:manualLayout>
          <c:xMode val="edge"/>
          <c:yMode val="edge"/>
          <c:x val="0.17613132410172866"/>
          <c:y val="3.12683212820011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Vendas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7AC-AE43-BB18-2908CA4E965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7AC-AE43-BB18-2908CA4E965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7AC-AE43-BB18-2908CA4E965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7AC-AE43-BB18-2908CA4E965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7AC-AE43-BB18-2908CA4E965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7AC-AE43-BB18-2908CA4E965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7AC-AE43-BB18-2908CA4E965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7AC-AE43-BB18-2908CA4E965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A7AC-AE43-BB18-2908CA4E965F}"/>
              </c:ext>
            </c:extLst>
          </c:dPt>
          <c:cat>
            <c:strRef>
              <c:f>Planilha1!$A$2:$A$10</c:f>
              <c:strCache>
                <c:ptCount val="9"/>
                <c:pt idx="0">
                  <c:v>Trabalho</c:v>
                </c:pt>
                <c:pt idx="1">
                  <c:v>Instutucionalizacão da extensão Universitária</c:v>
                </c:pt>
                <c:pt idx="2">
                  <c:v>Direitos Humanos e Justiçã</c:v>
                </c:pt>
                <c:pt idx="3">
                  <c:v>Comunicação</c:v>
                </c:pt>
                <c:pt idx="4">
                  <c:v>Tecnologia e Produção</c:v>
                </c:pt>
                <c:pt idx="5">
                  <c:v>Cultura</c:v>
                </c:pt>
                <c:pt idx="6">
                  <c:v>Saúde</c:v>
                </c:pt>
                <c:pt idx="7">
                  <c:v>Meio Ambiente</c:v>
                </c:pt>
                <c:pt idx="8">
                  <c:v>Educação</c:v>
                </c:pt>
              </c:strCache>
            </c:strRef>
          </c:cat>
          <c:val>
            <c:numRef>
              <c:f>Planilha1!$B$2:$B$10</c:f>
              <c:numCache>
                <c:formatCode>General</c:formatCode>
                <c:ptCount val="9"/>
                <c:pt idx="0">
                  <c:v>3</c:v>
                </c:pt>
                <c:pt idx="1">
                  <c:v>1</c:v>
                </c:pt>
                <c:pt idx="2">
                  <c:v>6</c:v>
                </c:pt>
                <c:pt idx="3">
                  <c:v>3</c:v>
                </c:pt>
                <c:pt idx="4">
                  <c:v>16</c:v>
                </c:pt>
                <c:pt idx="5">
                  <c:v>10</c:v>
                </c:pt>
                <c:pt idx="6">
                  <c:v>34</c:v>
                </c:pt>
                <c:pt idx="7">
                  <c:v>8</c:v>
                </c:pt>
                <c:pt idx="8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34-E445-9A65-489A6D013B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17982554487115"/>
          <c:y val="0.14609071082172828"/>
          <c:w val="0.34408077491137329"/>
          <c:h val="0.803219181019762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b="1"/>
              <a:t>Gráfico 2 - Tipos de Ações de extensão em 2017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2017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97F-DD40-8EF5-487AE6FC7A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97F-DD40-8EF5-487AE6FC7A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97F-DD40-8EF5-487AE6FC7A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97F-DD40-8EF5-487AE6FC7AB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97F-DD40-8EF5-487AE6FC7ABC}"/>
              </c:ext>
            </c:extLst>
          </c:dPt>
          <c:cat>
            <c:strRef>
              <c:f>Planilha1!$A$2:$A$6</c:f>
              <c:strCache>
                <c:ptCount val="5"/>
                <c:pt idx="0">
                  <c:v>Projetos</c:v>
                </c:pt>
                <c:pt idx="1">
                  <c:v>Eventos</c:v>
                </c:pt>
                <c:pt idx="2">
                  <c:v>Prestação de serviços</c:v>
                </c:pt>
                <c:pt idx="3">
                  <c:v>Curso</c:v>
                </c:pt>
                <c:pt idx="4">
                  <c:v>Programa</c:v>
                </c:pt>
              </c:strCache>
            </c:strRef>
          </c:cat>
          <c:val>
            <c:numRef>
              <c:f>Planilha1!$B$2:$B$6</c:f>
              <c:numCache>
                <c:formatCode>General</c:formatCode>
                <c:ptCount val="5"/>
                <c:pt idx="0">
                  <c:v>47.1</c:v>
                </c:pt>
                <c:pt idx="1">
                  <c:v>15.4</c:v>
                </c:pt>
                <c:pt idx="2">
                  <c:v>14</c:v>
                </c:pt>
                <c:pt idx="3">
                  <c:v>15.8</c:v>
                </c:pt>
                <c:pt idx="4">
                  <c:v>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97F-DD40-8EF5-487AE6FC7A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920941101472684"/>
          <c:y val="0.16043041018904311"/>
          <c:w val="0.34666961934535773"/>
          <c:h val="0.74809185769269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3037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ALVIM</dc:creator>
  <cp:lastModifiedBy>CRISTINA ALVIM</cp:lastModifiedBy>
  <cp:revision>3</cp:revision>
  <dcterms:created xsi:type="dcterms:W3CDTF">2018-07-30T21:22:00Z</dcterms:created>
  <dcterms:modified xsi:type="dcterms:W3CDTF">2018-08-01T20:32:00Z</dcterms:modified>
</cp:coreProperties>
</file>