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18" w:rsidRPr="00FB63FA" w:rsidRDefault="00552C18" w:rsidP="00552C18">
      <w:pPr>
        <w:spacing w:line="360" w:lineRule="auto"/>
        <w:jc w:val="both"/>
        <w:rPr>
          <w:b/>
          <w:lang w:val="pt-BR"/>
        </w:rPr>
      </w:pPr>
      <w:r w:rsidRPr="00FB63FA">
        <w:rPr>
          <w:b/>
          <w:lang w:val="pt-BR"/>
        </w:rPr>
        <w:t>3.2 - ENSINO DE PÓS-GRADUAÇÃO</w:t>
      </w:r>
    </w:p>
    <w:p w:rsidR="00552C18" w:rsidRPr="00FB63FA" w:rsidRDefault="00552C18" w:rsidP="00552C18">
      <w:pPr>
        <w:spacing w:line="360" w:lineRule="auto"/>
        <w:jc w:val="both"/>
        <w:rPr>
          <w:lang w:val="pt-BR"/>
        </w:rPr>
      </w:pPr>
    </w:p>
    <w:p w:rsidR="00552C18" w:rsidRPr="00FB63FA" w:rsidRDefault="00552C18" w:rsidP="00552C18">
      <w:pPr>
        <w:spacing w:line="360" w:lineRule="auto"/>
        <w:jc w:val="both"/>
        <w:outlineLvl w:val="0"/>
        <w:rPr>
          <w:b/>
          <w:lang w:val="pt-BR"/>
        </w:rPr>
      </w:pPr>
      <w:r w:rsidRPr="00FB63FA">
        <w:rPr>
          <w:b/>
          <w:lang w:val="pt-BR"/>
        </w:rPr>
        <w:t>Bases Conceituais</w:t>
      </w:r>
    </w:p>
    <w:p w:rsidR="00552C18" w:rsidRPr="00FB63FA" w:rsidRDefault="00552C18" w:rsidP="00552C18">
      <w:pPr>
        <w:spacing w:line="360" w:lineRule="auto"/>
        <w:ind w:firstLine="709"/>
        <w:jc w:val="both"/>
        <w:rPr>
          <w:lang w:val="pt-BR"/>
        </w:rPr>
      </w:pPr>
      <w:r w:rsidRPr="00FB63FA">
        <w:rPr>
          <w:lang w:val="pt-BR"/>
        </w:rPr>
        <w:t xml:space="preserve">Os Programas de Pós-Graduação da UFMG, abertos a candidatos diplomados em cursos de Graduação, investem na qualificação de pessoal para o exercício de atividades de ensino e pesquisa, bem como para o mercado de trabalho. Os cursos de Pós-Graduação são oferecidos nos níveis de Doutorado e Mestrado Acadêmico e Profissional – que conferem graus e expedem diplomas de, respectivamente, Doutor e Mestre e são referenciados como cursos da modalidade </w:t>
      </w:r>
      <w:r w:rsidRPr="00FB63FA">
        <w:rPr>
          <w:i/>
          <w:lang w:val="pt-BR"/>
        </w:rPr>
        <w:t>stricto sensu</w:t>
      </w:r>
      <w:r w:rsidRPr="00FB63FA">
        <w:rPr>
          <w:lang w:val="pt-BR"/>
        </w:rPr>
        <w:t xml:space="preserve"> – e de Especialização – que expedem certificados de Especialista, sendo referenciados como da modalidade </w:t>
      </w:r>
      <w:r w:rsidRPr="00FB63FA">
        <w:rPr>
          <w:i/>
          <w:lang w:val="pt-BR"/>
        </w:rPr>
        <w:t xml:space="preserve">lato </w:t>
      </w:r>
      <w:proofErr w:type="gramStart"/>
      <w:r w:rsidRPr="00FB63FA">
        <w:rPr>
          <w:i/>
          <w:lang w:val="pt-BR"/>
        </w:rPr>
        <w:t>sensu</w:t>
      </w:r>
      <w:proofErr w:type="gramEnd"/>
      <w:r w:rsidRPr="00FB63FA">
        <w:rPr>
          <w:lang w:val="pt-BR"/>
        </w:rPr>
        <w:t>.</w:t>
      </w:r>
    </w:p>
    <w:p w:rsidR="00552C18" w:rsidRPr="00FB63FA" w:rsidRDefault="00552C18" w:rsidP="00552C18">
      <w:pPr>
        <w:spacing w:line="360" w:lineRule="auto"/>
        <w:ind w:firstLine="708"/>
        <w:jc w:val="both"/>
        <w:rPr>
          <w:lang w:val="pt-BR"/>
        </w:rPr>
      </w:pPr>
      <w:r w:rsidRPr="00FB63FA">
        <w:rPr>
          <w:lang w:val="pt-BR"/>
        </w:rPr>
        <w:t>Os principais elementos normativos internos relativos à Pós-Graduação encontram-se compilados nas Normas Gerais de Pós-Graduação, cuja versão atual foi aprovada pelo Conselho de Ensino, Pesquisa e Extensão em 04 de julho de 2017.  Além dos aspectos formais que norteiam os cursos de Pós-Graduação na UFMG, as Normas Gerais, em seu Art.2º., definem o perfil do egresso a ser formado, a saber:</w:t>
      </w:r>
    </w:p>
    <w:p w:rsidR="00552C18" w:rsidRPr="00FB63FA" w:rsidRDefault="00552C18" w:rsidP="00552C18">
      <w:pPr>
        <w:pStyle w:val="Pargrafoda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cs="Times New Roman"/>
          <w:lang w:val="pt-BR"/>
        </w:rPr>
      </w:pPr>
      <w:r w:rsidRPr="00FB63FA">
        <w:rPr>
          <w:rFonts w:cs="Times New Roman"/>
          <w:lang w:val="pt-BR"/>
        </w:rPr>
        <w:t xml:space="preserve">A Especialização tem por objetivo aprofundar a qualificação profissional em campo específico ou interdisciplinar do conhecimento, podendo ser ofertada nas modalidades presencial, semipresencial ou a distância. </w:t>
      </w:r>
    </w:p>
    <w:p w:rsidR="00552C18" w:rsidRPr="00FB63FA" w:rsidRDefault="00552C18" w:rsidP="00552C18">
      <w:pPr>
        <w:pStyle w:val="Pargrafoda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66" w:hanging="357"/>
        <w:contextualSpacing/>
        <w:rPr>
          <w:rFonts w:cs="Times New Roman"/>
          <w:lang w:val="pt-BR"/>
        </w:rPr>
      </w:pPr>
      <w:r w:rsidRPr="00FB63FA">
        <w:rPr>
          <w:rFonts w:cs="Times New Roman"/>
          <w:lang w:val="pt-BR"/>
        </w:rPr>
        <w:t xml:space="preserve">O Mestrado tem por objetivos aprofundar o conhecimento acadêmico e profissional, bem como aprimorar a capacidade de realizar pesquisas em área específica ou interdisciplinar do conhecimento. </w:t>
      </w:r>
    </w:p>
    <w:p w:rsidR="00552C18" w:rsidRPr="00FB63FA" w:rsidRDefault="00552C18" w:rsidP="00552C18">
      <w:pPr>
        <w:pStyle w:val="Pargrafoda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cs="Times New Roman"/>
          <w:lang w:val="pt-BR"/>
        </w:rPr>
      </w:pPr>
      <w:r w:rsidRPr="00FB63FA">
        <w:rPr>
          <w:rFonts w:cs="Times New Roman"/>
          <w:lang w:val="pt-BR"/>
        </w:rPr>
        <w:t>O Doutorado tem por objetivo desenvolver a capacidade de propor e conduzir, de forma autônoma, pesquisas originais em área específica ou interdisciplinar do conhecimento.</w:t>
      </w:r>
    </w:p>
    <w:p w:rsidR="00552C18" w:rsidRPr="00FB63FA" w:rsidRDefault="00552C18" w:rsidP="00552C18">
      <w:pPr>
        <w:spacing w:line="360" w:lineRule="auto"/>
        <w:ind w:firstLine="708"/>
        <w:jc w:val="both"/>
        <w:rPr>
          <w:lang w:val="pt-BR"/>
        </w:rPr>
      </w:pPr>
      <w:r w:rsidRPr="00FB63FA">
        <w:rPr>
          <w:lang w:val="pt-BR"/>
        </w:rPr>
        <w:t>Segundo as Normas Gerais da Pós-Graduação, o ensino da pós-graduação na UFMG será pautado por:</w:t>
      </w:r>
    </w:p>
    <w:p w:rsidR="00552C18" w:rsidRPr="00FB63FA" w:rsidRDefault="00552C18" w:rsidP="00552C18">
      <w:pPr>
        <w:spacing w:line="360" w:lineRule="auto"/>
        <w:ind w:left="993" w:hanging="284"/>
        <w:rPr>
          <w:lang w:val="pt-BR"/>
        </w:rPr>
      </w:pPr>
      <w:r w:rsidRPr="00FB63FA">
        <w:rPr>
          <w:lang w:val="pt-BR"/>
        </w:rPr>
        <w:t xml:space="preserve">I - Qualidade das atividades de ensino, de investigação e de produção científica, tecnológica e artística; </w:t>
      </w:r>
    </w:p>
    <w:p w:rsidR="00552C18" w:rsidRPr="00FB63FA" w:rsidRDefault="00552C18" w:rsidP="00552C18">
      <w:pPr>
        <w:spacing w:line="360" w:lineRule="auto"/>
        <w:ind w:left="993" w:hanging="284"/>
        <w:rPr>
          <w:lang w:val="pt-BR"/>
        </w:rPr>
      </w:pPr>
      <w:r w:rsidRPr="00FB63FA">
        <w:rPr>
          <w:lang w:val="pt-BR"/>
        </w:rPr>
        <w:t xml:space="preserve">II - Atualização contínua nas áreas do conhecimento contempladas na proposta do Curso; </w:t>
      </w:r>
    </w:p>
    <w:p w:rsidR="00552C18" w:rsidRPr="00FB63FA" w:rsidRDefault="00552C18" w:rsidP="00552C18">
      <w:pPr>
        <w:spacing w:line="360" w:lineRule="auto"/>
        <w:ind w:left="708"/>
        <w:jc w:val="both"/>
        <w:rPr>
          <w:lang w:val="pt-BR"/>
        </w:rPr>
      </w:pPr>
      <w:r w:rsidRPr="00FB63FA">
        <w:rPr>
          <w:lang w:val="pt-BR"/>
        </w:rPr>
        <w:t xml:space="preserve">III - Flexibilidade curricular; </w:t>
      </w:r>
    </w:p>
    <w:p w:rsidR="00552C18" w:rsidRPr="00FB63FA" w:rsidRDefault="00552C18" w:rsidP="00552C18">
      <w:pPr>
        <w:spacing w:line="360" w:lineRule="auto"/>
        <w:ind w:left="708"/>
        <w:jc w:val="both"/>
        <w:rPr>
          <w:lang w:val="pt-BR"/>
        </w:rPr>
      </w:pPr>
      <w:r w:rsidRPr="00FB63FA">
        <w:rPr>
          <w:lang w:val="pt-BR"/>
        </w:rPr>
        <w:t xml:space="preserve">IV - Interdisciplinaridade; </w:t>
      </w:r>
    </w:p>
    <w:p w:rsidR="00552C18" w:rsidRPr="00FB63FA" w:rsidRDefault="00552C18" w:rsidP="00552C18">
      <w:pPr>
        <w:spacing w:line="360" w:lineRule="auto"/>
        <w:ind w:left="708"/>
        <w:jc w:val="both"/>
        <w:rPr>
          <w:lang w:val="pt-BR"/>
        </w:rPr>
      </w:pPr>
      <w:r w:rsidRPr="00FB63FA">
        <w:rPr>
          <w:lang w:val="pt-BR"/>
        </w:rPr>
        <w:t xml:space="preserve">V - Internacionalização; </w:t>
      </w:r>
    </w:p>
    <w:p w:rsidR="00552C18" w:rsidRPr="00FB63FA" w:rsidRDefault="00552C18" w:rsidP="00552C18">
      <w:pPr>
        <w:spacing w:line="360" w:lineRule="auto"/>
        <w:ind w:left="708"/>
        <w:jc w:val="both"/>
        <w:rPr>
          <w:lang w:val="pt-BR"/>
        </w:rPr>
      </w:pPr>
      <w:r w:rsidRPr="00FB63FA">
        <w:rPr>
          <w:lang w:val="pt-BR"/>
        </w:rPr>
        <w:lastRenderedPageBreak/>
        <w:t xml:space="preserve">VI - Integração com as atividades de Graduação pertinentes; </w:t>
      </w:r>
    </w:p>
    <w:p w:rsidR="00552C18" w:rsidRPr="00FB63FA" w:rsidRDefault="00552C18" w:rsidP="00552C18">
      <w:pPr>
        <w:spacing w:line="360" w:lineRule="auto"/>
        <w:ind w:left="1134" w:hanging="425"/>
        <w:rPr>
          <w:lang w:val="pt-BR"/>
        </w:rPr>
      </w:pPr>
      <w:r w:rsidRPr="00FB63FA">
        <w:rPr>
          <w:lang w:val="pt-BR"/>
        </w:rPr>
        <w:t xml:space="preserve">VII - Intercâmbio com Instituições Acadêmicas e Culturais, bem como com a sociedade em geral e </w:t>
      </w:r>
    </w:p>
    <w:p w:rsidR="00552C18" w:rsidRPr="00FB63FA" w:rsidRDefault="00552C18" w:rsidP="00552C18">
      <w:pPr>
        <w:spacing w:line="360" w:lineRule="auto"/>
        <w:ind w:left="1276" w:hanging="567"/>
        <w:jc w:val="both"/>
        <w:rPr>
          <w:lang w:val="pt-BR"/>
        </w:rPr>
      </w:pPr>
      <w:r w:rsidRPr="00FB63FA">
        <w:rPr>
          <w:lang w:val="pt-BR"/>
        </w:rPr>
        <w:t>VIII – Para os cursos de Doutorado e Mestrado Acadêmico e Profissional, divulgação do resultado das atividades de pesquisa, sob forma reconhecida pelas respectivas áreas do conhecimento e modalidade acadêmica ou profissional.</w:t>
      </w:r>
    </w:p>
    <w:p w:rsidR="00552C18" w:rsidRPr="00FB63FA" w:rsidRDefault="00552C18" w:rsidP="00552C18">
      <w:pPr>
        <w:spacing w:line="360" w:lineRule="auto"/>
        <w:ind w:firstLine="709"/>
        <w:jc w:val="both"/>
        <w:rPr>
          <w:lang w:val="pt-BR"/>
        </w:rPr>
      </w:pPr>
      <w:r w:rsidRPr="00FB63FA">
        <w:rPr>
          <w:lang w:val="pt-BR"/>
        </w:rPr>
        <w:t>Como diretriz fundamental a Pós-Graduação da UFMG estabelece uma integração das atividades de pesquisa nela desenvolvidas com a extensão como uma maneira de aumentar o vínculo com a realidade social e impacto na sociedade. Também é fundamental a integração da pós-graduação com o ensi</w:t>
      </w:r>
      <w:r>
        <w:rPr>
          <w:lang w:val="pt-BR"/>
        </w:rPr>
        <w:t>no da graduação sendo estimulada</w:t>
      </w:r>
      <w:r w:rsidRPr="00FB63FA">
        <w:rPr>
          <w:lang w:val="pt-BR"/>
        </w:rPr>
        <w:t xml:space="preserve"> a inserção de atividades acadêmicas curriculares da pós-graduação no</w:t>
      </w:r>
      <w:r>
        <w:rPr>
          <w:lang w:val="pt-BR"/>
        </w:rPr>
        <w:t>s</w:t>
      </w:r>
      <w:r w:rsidRPr="00FB63FA">
        <w:rPr>
          <w:lang w:val="pt-BR"/>
        </w:rPr>
        <w:t xml:space="preserve"> currículo</w:t>
      </w:r>
      <w:r>
        <w:rPr>
          <w:lang w:val="pt-BR"/>
        </w:rPr>
        <w:t>s</w:t>
      </w:r>
      <w:r w:rsidRPr="00FB63FA">
        <w:rPr>
          <w:lang w:val="pt-BR"/>
        </w:rPr>
        <w:t xml:space="preserve"> de graduação</w:t>
      </w:r>
      <w:r>
        <w:rPr>
          <w:lang w:val="pt-BR"/>
        </w:rPr>
        <w:t>, bem como</w:t>
      </w:r>
      <w:r w:rsidRPr="00FB63FA">
        <w:rPr>
          <w:lang w:val="pt-BR"/>
        </w:rPr>
        <w:t xml:space="preserve"> o acesso de estudantes de </w:t>
      </w:r>
      <w:r>
        <w:rPr>
          <w:lang w:val="pt-BR"/>
        </w:rPr>
        <w:t>pós-graduação a toda a diversidade das</w:t>
      </w:r>
      <w:r w:rsidRPr="00FB63FA">
        <w:rPr>
          <w:lang w:val="pt-BR"/>
        </w:rPr>
        <w:t xml:space="preserve"> atividades</w:t>
      </w:r>
      <w:r>
        <w:rPr>
          <w:lang w:val="pt-BR"/>
        </w:rPr>
        <w:t xml:space="preserve"> curriculares ofertadas em cursos de </w:t>
      </w:r>
      <w:r w:rsidRPr="00FB63FA">
        <w:rPr>
          <w:lang w:val="pt-BR"/>
        </w:rPr>
        <w:t xml:space="preserve">graduação. </w:t>
      </w:r>
    </w:p>
    <w:p w:rsidR="00552C18" w:rsidRPr="00FB63FA" w:rsidRDefault="00552C18" w:rsidP="00552C18">
      <w:pPr>
        <w:spacing w:line="360" w:lineRule="auto"/>
        <w:ind w:firstLine="709"/>
        <w:jc w:val="both"/>
        <w:rPr>
          <w:lang w:val="pt-BR"/>
        </w:rPr>
      </w:pPr>
    </w:p>
    <w:p w:rsidR="00552C18" w:rsidRPr="00FB63FA" w:rsidRDefault="00552C18" w:rsidP="00552C18">
      <w:pPr>
        <w:spacing w:line="360" w:lineRule="auto"/>
        <w:jc w:val="both"/>
        <w:outlineLvl w:val="0"/>
        <w:rPr>
          <w:i/>
          <w:lang w:val="pt-BR"/>
        </w:rPr>
      </w:pPr>
      <w:r w:rsidRPr="00FB63FA">
        <w:rPr>
          <w:i/>
          <w:lang w:val="pt-BR"/>
        </w:rPr>
        <w:t>Pós-Graduação Stricto Sensu</w:t>
      </w:r>
    </w:p>
    <w:p w:rsidR="00552C18" w:rsidRPr="00FB63FA" w:rsidRDefault="00552C18" w:rsidP="00552C18">
      <w:pPr>
        <w:autoSpaceDE w:val="0"/>
        <w:autoSpaceDN w:val="0"/>
        <w:adjustRightInd w:val="0"/>
        <w:spacing w:line="360" w:lineRule="auto"/>
        <w:ind w:firstLine="709"/>
        <w:jc w:val="both"/>
        <w:rPr>
          <w:lang w:val="pt-BR"/>
        </w:rPr>
      </w:pPr>
      <w:r w:rsidRPr="00FB63FA">
        <w:rPr>
          <w:lang w:val="pt-BR"/>
        </w:rPr>
        <w:t>A organização didática dos Cursos de Doutorado e de Mestrado Acadêmico e Profissional dá-se em torno das áreas de concentração e das linhas de pesquisa. Entende-se por área de concentração o campo específico do conhecimento que constitui o objeto de estudo dos Cursos. Já a linha de pesquisa aponta para a diretriz de investigação dotada de identidade própria e coerente com a proposta acadêmica do respectivo Curso. Ambas, contudo, devem estar apoiadas por atividades acadêmicas consideradas necessárias à formação de Doutor e de Mestre Acadêmico e Profissional. Essas atividades acadêmicas, classificadas como obrigatórias ou optativas, podem ser oferecidas nas modalidades presencial, semipresencial ou a distância, respeitando a especificidade de cada área do conhecimento e das particularidades de cada Curso.</w:t>
      </w:r>
    </w:p>
    <w:p w:rsidR="00552C18" w:rsidRPr="00FB63FA" w:rsidRDefault="00552C18" w:rsidP="00552C18">
      <w:pPr>
        <w:spacing w:line="360" w:lineRule="auto"/>
        <w:ind w:firstLine="708"/>
        <w:jc w:val="both"/>
        <w:rPr>
          <w:lang w:val="pt-BR"/>
        </w:rPr>
      </w:pPr>
      <w:r w:rsidRPr="00FB63FA">
        <w:rPr>
          <w:lang w:val="pt-BR"/>
        </w:rPr>
        <w:t xml:space="preserve">As estruturas curriculares, bem como o número de horas/créditos necessários para a integralização de cada uma delas, variam de acordo com a proposta didático- pedagógica definida no regulamento de cada Programa, atendidos os termos do Regimento Geral e das Normas Gerais de Pós-Graduação da UFMG. Na perspectiva de uma flexibilização curricular 50% dos créditos necessários para a integralização podem ser obtidos por outras atividades acadêmicas que não disciplinas. Além do cumprimento de todos os requisitos regimentais, normativos e regulamentares, para a obtenção dos diplomas de Doutor, de Mestre Acadêmico ou Profissional, o aluno deve elaborar trabalho </w:t>
      </w:r>
      <w:r w:rsidRPr="00FB63FA">
        <w:rPr>
          <w:lang w:val="pt-BR"/>
        </w:rPr>
        <w:lastRenderedPageBreak/>
        <w:t>final, respectivamente de tese, dissertação ou trabalho equivalente, conforme o nível, a ser aprovado por Banca Examinadora.</w:t>
      </w:r>
    </w:p>
    <w:p w:rsidR="00552C18" w:rsidRPr="00FB63FA" w:rsidRDefault="00552C18" w:rsidP="00552C18">
      <w:pPr>
        <w:spacing w:line="360" w:lineRule="auto"/>
        <w:ind w:firstLine="709"/>
        <w:jc w:val="both"/>
        <w:rPr>
          <w:lang w:val="pt-BR"/>
        </w:rPr>
      </w:pPr>
      <w:r w:rsidRPr="00FB63FA">
        <w:rPr>
          <w:lang w:val="pt-BR"/>
        </w:rPr>
        <w:t>Para atuarem nos Cursos, todos os docentes, sejam eles, permanentes, colaboradores ou visitantes, devem possuir o grau de Doutor ou título equivalente e passarem por processo de credenciamento ou recredenciamento aprovado pelo Colegiado do Curso e pela Pró-Reitoria de Pós-Graduação - PRPG. Para os docentes vinculados aos Cursos de Mestrado Profissional, esses podem, excepcionalmente, não ser doutores. Para o processo de credenciamento ou recredenciamento os docentes devem comprovar produção intelectual relevante de acordo com os critérios estabelecidos pelos Cursos e devidamente aprovados pela PRPG.</w:t>
      </w:r>
    </w:p>
    <w:p w:rsidR="00552C18" w:rsidRPr="00FB63FA" w:rsidRDefault="00552C18" w:rsidP="00552C18">
      <w:pPr>
        <w:spacing w:line="360" w:lineRule="auto"/>
        <w:ind w:firstLine="708"/>
        <w:jc w:val="both"/>
        <w:rPr>
          <w:lang w:val="pt-BR"/>
        </w:rPr>
      </w:pPr>
      <w:r w:rsidRPr="00FB63FA">
        <w:rPr>
          <w:lang w:val="pt-BR"/>
        </w:rPr>
        <w:t xml:space="preserve">No ano de 2017 um importante passo foi dado pela UFMG no intuito de reduzir a seletividade social de acesso a vagas em seus Cursos. Foi aprovada pelo Conselho de Ensino, Pesquisa e Extensão, em 04 de abril, a Resolução 02/2017 que dispõe sobre a Política de Ações Afirmativas para inclusão de pessoas negras (pretas e pardas), indígenas e com deficiência na Pós-Graduação </w:t>
      </w:r>
      <w:r w:rsidRPr="00FB63FA">
        <w:rPr>
          <w:i/>
          <w:lang w:val="pt-BR"/>
        </w:rPr>
        <w:t>stricto sensu</w:t>
      </w:r>
      <w:r w:rsidRPr="00FB63FA">
        <w:rPr>
          <w:lang w:val="pt-BR"/>
        </w:rPr>
        <w:t xml:space="preserve">. O acesso dá-se por meio de processo seletivo regular ou suplementar. Para as pessoas negras esta inserção ocorre por processo seletivo regular, quando os Cursos </w:t>
      </w:r>
      <w:r w:rsidRPr="00FB63FA">
        <w:rPr>
          <w:i/>
          <w:lang w:val="pt-BR"/>
        </w:rPr>
        <w:t>stricto sensu</w:t>
      </w:r>
      <w:r w:rsidRPr="00FB63FA">
        <w:rPr>
          <w:lang w:val="pt-BR"/>
        </w:rPr>
        <w:t xml:space="preserve"> devem reservar de 20% a 50% de suas vagas disponibilizadas anualmente para aqueles candidatos que se autodeclararem nesta condição. Já para os candidatos indígenas ou com deficiência, sua entrada ocorre por meio de processo seletivo suplementar, ou seja, específico para estes grupos. Além disto a UFMG tem promovido ações específicas para esses grupos de tal forma que sua inserção possa ocorrer em sua plenitude. </w:t>
      </w:r>
    </w:p>
    <w:p w:rsidR="00552C18" w:rsidRPr="00FB63FA" w:rsidRDefault="00552C18" w:rsidP="00552C18">
      <w:pPr>
        <w:spacing w:line="360" w:lineRule="auto"/>
        <w:jc w:val="both"/>
        <w:rPr>
          <w:lang w:val="pt-BR"/>
        </w:rPr>
      </w:pPr>
    </w:p>
    <w:p w:rsidR="00552C18" w:rsidRPr="00FB63FA" w:rsidRDefault="00552C18" w:rsidP="00552C18">
      <w:pPr>
        <w:spacing w:line="360" w:lineRule="auto"/>
        <w:jc w:val="both"/>
        <w:outlineLvl w:val="0"/>
        <w:rPr>
          <w:i/>
          <w:lang w:val="pt-BR"/>
        </w:rPr>
      </w:pPr>
      <w:r w:rsidRPr="00FB63FA">
        <w:rPr>
          <w:i/>
          <w:lang w:val="pt-BR"/>
        </w:rPr>
        <w:t>Pós-Graduação Lato Sensu</w:t>
      </w:r>
    </w:p>
    <w:p w:rsidR="00552C18" w:rsidRPr="00FB63FA" w:rsidRDefault="00552C18" w:rsidP="00501297">
      <w:pPr>
        <w:autoSpaceDE w:val="0"/>
        <w:autoSpaceDN w:val="0"/>
        <w:adjustRightInd w:val="0"/>
        <w:spacing w:line="360" w:lineRule="auto"/>
        <w:ind w:firstLine="709"/>
        <w:jc w:val="both"/>
        <w:rPr>
          <w:lang w:val="pt-BR"/>
        </w:rPr>
      </w:pPr>
      <w:r w:rsidRPr="00FB63FA">
        <w:rPr>
          <w:lang w:val="pt-BR"/>
        </w:rPr>
        <w:t xml:space="preserve">A estrutura dos Cursos de Especialização pode estar definida por área de concentração e deve se encontrar apoiada por atividades acadêmicas consideradas necessárias à formação do Especialista. Essas atividades podem ser realizadas nas modalidades presencial, semipresencial e a distância. Para obter o certificado de Especialista, além da integralização de, no mínimo, 24 créditos, o aluno deve comprovar, nos termos do regulamento de cada curso, aprovação em trabalho final. </w:t>
      </w:r>
    </w:p>
    <w:p w:rsidR="00552C18" w:rsidRPr="00FB63FA" w:rsidRDefault="004B338A" w:rsidP="00552C18">
      <w:pPr>
        <w:spacing w:line="360" w:lineRule="auto"/>
        <w:ind w:firstLine="708"/>
        <w:jc w:val="both"/>
        <w:rPr>
          <w:lang w:val="pt-BR"/>
        </w:rPr>
      </w:pPr>
      <w:r>
        <w:rPr>
          <w:lang w:val="pt-BR"/>
        </w:rPr>
        <w:t>U</w:t>
      </w:r>
      <w:r w:rsidR="00552C18" w:rsidRPr="00FB63FA">
        <w:rPr>
          <w:lang w:val="pt-BR"/>
        </w:rPr>
        <w:t xml:space="preserve">m dos pontos essenciais para </w:t>
      </w:r>
      <w:r>
        <w:rPr>
          <w:lang w:val="pt-BR"/>
        </w:rPr>
        <w:t>o</w:t>
      </w:r>
      <w:r w:rsidR="00552C18" w:rsidRPr="00FB63FA">
        <w:rPr>
          <w:lang w:val="pt-BR"/>
        </w:rPr>
        <w:t xml:space="preserve"> oferecimento</w:t>
      </w:r>
      <w:r>
        <w:rPr>
          <w:lang w:val="pt-BR"/>
        </w:rPr>
        <w:t xml:space="preserve"> dos Cursos de Especialização </w:t>
      </w:r>
      <w:r w:rsidR="00552C18" w:rsidRPr="00FB63FA">
        <w:rPr>
          <w:lang w:val="pt-BR"/>
        </w:rPr>
        <w:t xml:space="preserve">é a qualificação e a experiência do corpo docente, por meio de suas realizações no campo de atuação da Especialização proposta. O corpo docente dos Cursos de Especialização é constituído por docentes com o título de Especialista, Mestre ou Doutor, tendo em mente </w:t>
      </w:r>
      <w:r w:rsidR="00552C18" w:rsidRPr="00FB63FA">
        <w:rPr>
          <w:lang w:val="pt-BR"/>
        </w:rPr>
        <w:lastRenderedPageBreak/>
        <w:t>a legislação vigente. Contudo, excepcionalmente, podem ser admitidos docentes sem título de Pós-Graduação, mas que comprovem reconhecida capacidade técnico-profissional.</w:t>
      </w:r>
    </w:p>
    <w:p w:rsidR="00552C18" w:rsidRPr="00FB63FA" w:rsidRDefault="00552C18" w:rsidP="00552C18">
      <w:pPr>
        <w:spacing w:line="360" w:lineRule="auto"/>
        <w:ind w:firstLine="708"/>
        <w:jc w:val="both"/>
        <w:rPr>
          <w:lang w:val="pt-BR"/>
        </w:rPr>
      </w:pPr>
      <w:r w:rsidRPr="00FB63FA">
        <w:rPr>
          <w:lang w:val="pt-BR"/>
        </w:rPr>
        <w:t xml:space="preserve">A UFMG, entendendo seu compromisso com a formação qualificada de profissionais inseridos em serviços, tem acolhido propostas de Cursos de Especialização voltadas para a capacitação de professores inseridos na rede pública de ensino bem como de servidores públicos inseridos na gestão. Importante destacar, contudo, que este é apenas um exemplo de seu compromisso com a capacitação de profissionais atuantes em diferentes atividades de relevância para a comunidade. </w:t>
      </w:r>
    </w:p>
    <w:p w:rsidR="00552C18" w:rsidRPr="00FB63FA" w:rsidRDefault="00552C18" w:rsidP="00552C18">
      <w:pPr>
        <w:spacing w:line="360" w:lineRule="auto"/>
        <w:ind w:firstLine="708"/>
        <w:jc w:val="both"/>
        <w:rPr>
          <w:lang w:val="pt-BR"/>
        </w:rPr>
      </w:pPr>
    </w:p>
    <w:p w:rsidR="00552C18" w:rsidRPr="00FB63FA" w:rsidRDefault="00552C18" w:rsidP="00552C18">
      <w:pPr>
        <w:spacing w:line="360" w:lineRule="auto"/>
        <w:jc w:val="both"/>
        <w:outlineLvl w:val="0"/>
        <w:rPr>
          <w:i/>
          <w:lang w:val="pt-BR"/>
        </w:rPr>
      </w:pPr>
      <w:r w:rsidRPr="00FB63FA">
        <w:rPr>
          <w:i/>
          <w:lang w:val="pt-BR"/>
        </w:rPr>
        <w:t>Avaliação da Pós-Graduação</w:t>
      </w:r>
    </w:p>
    <w:p w:rsidR="00552C18" w:rsidRPr="00FB63FA" w:rsidRDefault="00552C18" w:rsidP="00552C18">
      <w:pPr>
        <w:spacing w:line="360" w:lineRule="auto"/>
        <w:ind w:firstLine="567"/>
        <w:jc w:val="both"/>
        <w:rPr>
          <w:lang w:val="pt-BR"/>
        </w:rPr>
      </w:pPr>
      <w:r>
        <w:rPr>
          <w:lang w:val="pt-BR"/>
        </w:rPr>
        <w:t>Faz parte da essência da UFMG um comprome</w:t>
      </w:r>
      <w:r w:rsidRPr="00FB63FA">
        <w:rPr>
          <w:lang w:val="pt-BR"/>
        </w:rPr>
        <w:t>timento</w:t>
      </w:r>
      <w:r>
        <w:rPr>
          <w:lang w:val="pt-BR"/>
        </w:rPr>
        <w:t xml:space="preserve"> com a crescente qualificação de sua atividade. Assim, apesar da existência de</w:t>
      </w:r>
      <w:r w:rsidRPr="00FB63FA">
        <w:rPr>
          <w:lang w:val="pt-BR"/>
        </w:rPr>
        <w:t xml:space="preserve"> um consolidado sistema nacional de avaliação da Pós-Graduação </w:t>
      </w:r>
      <w:r w:rsidRPr="00FB63FA">
        <w:rPr>
          <w:i/>
          <w:lang w:val="pt-BR"/>
        </w:rPr>
        <w:t>stricto sensu</w:t>
      </w:r>
      <w:r w:rsidRPr="00FB63FA">
        <w:rPr>
          <w:lang w:val="pt-BR"/>
        </w:rPr>
        <w:t xml:space="preserve">, a UFMG tem </w:t>
      </w:r>
      <w:r>
        <w:rPr>
          <w:lang w:val="pt-BR"/>
        </w:rPr>
        <w:t>tomado a iniciativa de periodicamente promover processos</w:t>
      </w:r>
      <w:r w:rsidR="00B873F5">
        <w:rPr>
          <w:lang w:val="pt-BR"/>
        </w:rPr>
        <w:t xml:space="preserve"> internos</w:t>
      </w:r>
      <w:r>
        <w:rPr>
          <w:lang w:val="pt-BR"/>
        </w:rPr>
        <w:t xml:space="preserve"> de avaliação de seus cursos. </w:t>
      </w:r>
      <w:r w:rsidRPr="00FB63FA">
        <w:rPr>
          <w:lang w:val="pt-BR"/>
        </w:rPr>
        <w:t xml:space="preserve">No ano de 1989 foi publicada a primeira avaliação referente aos anos 1987-89. A segunda avaliação institucional ocorreu duas décadas após, sendo publicada em 2006 e referindo-se aos anos 2005-06. Em ambas as avaliações todos os cursos foram visitados por uma comissão de docentes da própria UFMG que, baseados em documentos existentes e na visita realizada, desenvolveram um diagnóstico institucional e estabeleceram metas e diretrizes de fortalecimento para cada um dos cursos. Esta sistemática de reflexão interna tem permitido o sólido avanço da Pós-Graduação </w:t>
      </w:r>
      <w:r w:rsidRPr="00FB63FA">
        <w:rPr>
          <w:i/>
          <w:lang w:val="pt-BR"/>
        </w:rPr>
        <w:t>stricto sensu</w:t>
      </w:r>
      <w:r w:rsidRPr="00FB63FA">
        <w:rPr>
          <w:lang w:val="pt-BR"/>
        </w:rPr>
        <w:t xml:space="preserve"> da UFMG, que assume destaque no cenário nacional.</w:t>
      </w:r>
    </w:p>
    <w:p w:rsidR="00552C18" w:rsidRPr="00FB63FA" w:rsidRDefault="00552C18" w:rsidP="00552C18">
      <w:pPr>
        <w:spacing w:line="360" w:lineRule="auto"/>
        <w:ind w:firstLine="708"/>
        <w:jc w:val="both"/>
        <w:rPr>
          <w:lang w:val="pt-BR"/>
        </w:rPr>
      </w:pPr>
      <w:r>
        <w:rPr>
          <w:lang w:val="pt-BR"/>
        </w:rPr>
        <w:t>No que diz respeito a</w:t>
      </w:r>
      <w:r w:rsidRPr="00FB63FA">
        <w:rPr>
          <w:lang w:val="pt-BR"/>
        </w:rPr>
        <w:t>os Cursos de Especialização</w:t>
      </w:r>
      <w:r>
        <w:rPr>
          <w:lang w:val="pt-BR"/>
        </w:rPr>
        <w:t>, não existe hoje</w:t>
      </w:r>
      <w:r w:rsidRPr="00FB63FA">
        <w:rPr>
          <w:lang w:val="pt-BR"/>
        </w:rPr>
        <w:t xml:space="preserve"> </w:t>
      </w:r>
      <w:r>
        <w:rPr>
          <w:lang w:val="pt-BR"/>
        </w:rPr>
        <w:t>uma sistemática</w:t>
      </w:r>
      <w:r w:rsidRPr="00FB63FA">
        <w:rPr>
          <w:lang w:val="pt-BR"/>
        </w:rPr>
        <w:t xml:space="preserve"> nac</w:t>
      </w:r>
      <w:r>
        <w:rPr>
          <w:lang w:val="pt-BR"/>
        </w:rPr>
        <w:t>ional de avaliação</w:t>
      </w:r>
      <w:r w:rsidRPr="00FB63FA">
        <w:rPr>
          <w:lang w:val="pt-BR"/>
        </w:rPr>
        <w:t xml:space="preserve"> como a que se consolidou para a Pós-Graduação </w:t>
      </w:r>
      <w:r w:rsidRPr="00FB63FA">
        <w:rPr>
          <w:i/>
          <w:lang w:val="pt-BR"/>
        </w:rPr>
        <w:t>stricto sensu</w:t>
      </w:r>
      <w:r>
        <w:rPr>
          <w:lang w:val="pt-BR"/>
        </w:rPr>
        <w:t>. Desta forma, coloca-se como desafio para a UFMG a organização, no futuro próximo, de um processo avaliativo abrangente para seus cursos desse nível.</w:t>
      </w:r>
    </w:p>
    <w:p w:rsidR="00552C18" w:rsidRPr="00FB63FA" w:rsidRDefault="00552C18" w:rsidP="00552C18">
      <w:pPr>
        <w:spacing w:line="360" w:lineRule="auto"/>
        <w:jc w:val="both"/>
        <w:rPr>
          <w:lang w:val="pt-BR"/>
        </w:rPr>
      </w:pPr>
    </w:p>
    <w:p w:rsidR="00552C18" w:rsidRPr="00FB63FA" w:rsidRDefault="00552C18" w:rsidP="00552C18">
      <w:pPr>
        <w:spacing w:line="360" w:lineRule="auto"/>
        <w:jc w:val="both"/>
        <w:outlineLvl w:val="0"/>
        <w:rPr>
          <w:b/>
          <w:lang w:val="pt-BR"/>
        </w:rPr>
      </w:pPr>
      <w:r w:rsidRPr="00FB63FA">
        <w:rPr>
          <w:b/>
          <w:lang w:val="pt-BR"/>
        </w:rPr>
        <w:t>Configuração Atual</w:t>
      </w:r>
    </w:p>
    <w:p w:rsidR="006E1DF0" w:rsidRDefault="00552C18" w:rsidP="00552C18">
      <w:pPr>
        <w:autoSpaceDE w:val="0"/>
        <w:autoSpaceDN w:val="0"/>
        <w:adjustRightInd w:val="0"/>
        <w:spacing w:line="360" w:lineRule="auto"/>
        <w:ind w:firstLine="709"/>
        <w:jc w:val="both"/>
        <w:rPr>
          <w:lang w:val="pt-BR"/>
        </w:rPr>
      </w:pPr>
      <w:r w:rsidRPr="00FB63FA">
        <w:rPr>
          <w:lang w:val="pt-BR"/>
        </w:rPr>
        <w:t xml:space="preserve">O sistema de Pós-Graduação </w:t>
      </w:r>
      <w:r w:rsidRPr="00FB63FA">
        <w:rPr>
          <w:i/>
          <w:iCs/>
          <w:lang w:val="pt-BR"/>
        </w:rPr>
        <w:t xml:space="preserve">stricto sensu </w:t>
      </w:r>
      <w:r w:rsidRPr="00FB63FA">
        <w:rPr>
          <w:lang w:val="pt-BR"/>
        </w:rPr>
        <w:t>da UFMG, constituído atualmente de 84 programas, que envolvem 69 cursos de doutora</w:t>
      </w:r>
      <w:r w:rsidR="006E1DF0">
        <w:rPr>
          <w:lang w:val="pt-BR"/>
        </w:rPr>
        <w:t>do e 83 de mestrado, dos quais oito</w:t>
      </w:r>
      <w:r w:rsidRPr="00FB63FA">
        <w:rPr>
          <w:lang w:val="pt-BR"/>
        </w:rPr>
        <w:t xml:space="preserve"> são mestrados profissionais, abrangendo as nove áreas do conhecimento, mantém-se de forma conso</w:t>
      </w:r>
      <w:r w:rsidR="006E1DF0">
        <w:rPr>
          <w:lang w:val="pt-BR"/>
        </w:rPr>
        <w:t>lidada no cenário nacional. Os sete</w:t>
      </w:r>
      <w:r w:rsidRPr="00FB63FA">
        <w:rPr>
          <w:lang w:val="pt-BR"/>
        </w:rPr>
        <w:t xml:space="preserve"> programas que oferecem exclusivamente mestrado são cursos criados recentemente, que se encontram em fase de consolidação. </w:t>
      </w:r>
    </w:p>
    <w:p w:rsidR="00552C18" w:rsidRPr="00FB63FA" w:rsidRDefault="00552C18" w:rsidP="00552C18">
      <w:pPr>
        <w:autoSpaceDE w:val="0"/>
        <w:autoSpaceDN w:val="0"/>
        <w:adjustRightInd w:val="0"/>
        <w:spacing w:line="360" w:lineRule="auto"/>
        <w:ind w:firstLine="709"/>
        <w:jc w:val="both"/>
        <w:rPr>
          <w:lang w:val="pt-BR"/>
        </w:rPr>
      </w:pPr>
      <w:r w:rsidRPr="00FB63FA">
        <w:rPr>
          <w:lang w:val="pt-BR"/>
        </w:rPr>
        <w:lastRenderedPageBreak/>
        <w:t>Para atender à matrícula que, no primeiro semestre de 2018, superou 9.800 alunos, esses programas contam com o envolvimento de um corpo docente que compreende, aproximadamente, 2.000 docentes orientadores. Na Avaliação Quadrienal 2017 realizada pela CAPES, a UFMG se destacou no cenário nacional, dado que 16</w:t>
      </w:r>
      <w:r w:rsidR="00F53F88">
        <w:rPr>
          <w:lang w:val="pt-BR"/>
        </w:rPr>
        <w:t xml:space="preserve"> programas</w:t>
      </w:r>
      <w:r w:rsidRPr="00FB63FA">
        <w:rPr>
          <w:lang w:val="pt-BR"/>
        </w:rPr>
        <w:t xml:space="preserve"> alcançaram </w:t>
      </w:r>
      <w:r w:rsidR="00815591">
        <w:rPr>
          <w:lang w:val="pt-BR"/>
        </w:rPr>
        <w:t>n</w:t>
      </w:r>
      <w:r w:rsidRPr="00FB63FA">
        <w:rPr>
          <w:lang w:val="pt-BR"/>
        </w:rPr>
        <w:t xml:space="preserve">ota </w:t>
      </w:r>
      <w:proofErr w:type="gramStart"/>
      <w:r w:rsidRPr="00FB63FA">
        <w:rPr>
          <w:lang w:val="pt-BR"/>
        </w:rPr>
        <w:t xml:space="preserve">7, 18 </w:t>
      </w:r>
      <w:r w:rsidR="00815591">
        <w:rPr>
          <w:lang w:val="pt-BR"/>
        </w:rPr>
        <w:t>n</w:t>
      </w:r>
      <w:r w:rsidRPr="00FB63FA">
        <w:rPr>
          <w:lang w:val="pt-BR"/>
        </w:rPr>
        <w:t>ota</w:t>
      </w:r>
      <w:proofErr w:type="gramEnd"/>
      <w:r w:rsidRPr="00FB63FA">
        <w:rPr>
          <w:lang w:val="pt-BR"/>
        </w:rPr>
        <w:t xml:space="preserve"> 6, 20 </w:t>
      </w:r>
      <w:r w:rsidR="00815591">
        <w:rPr>
          <w:lang w:val="pt-BR"/>
        </w:rPr>
        <w:t>n</w:t>
      </w:r>
      <w:r w:rsidR="000E6173">
        <w:rPr>
          <w:lang w:val="pt-BR"/>
        </w:rPr>
        <w:t>ota 5, 19</w:t>
      </w:r>
      <w:r w:rsidRPr="00FB63FA">
        <w:rPr>
          <w:lang w:val="pt-BR"/>
        </w:rPr>
        <w:t xml:space="preserve"> </w:t>
      </w:r>
      <w:r w:rsidR="00815591">
        <w:rPr>
          <w:lang w:val="pt-BR"/>
        </w:rPr>
        <w:t>n</w:t>
      </w:r>
      <w:r w:rsidR="000E6173">
        <w:rPr>
          <w:lang w:val="pt-BR"/>
        </w:rPr>
        <w:t>ota 4 e 7</w:t>
      </w:r>
      <w:r w:rsidRPr="00FB63FA">
        <w:rPr>
          <w:lang w:val="pt-BR"/>
        </w:rPr>
        <w:t xml:space="preserve"> </w:t>
      </w:r>
      <w:r w:rsidR="00815591">
        <w:rPr>
          <w:lang w:val="pt-BR"/>
        </w:rPr>
        <w:t>n</w:t>
      </w:r>
      <w:r w:rsidRPr="00FB63FA">
        <w:rPr>
          <w:lang w:val="pt-BR"/>
        </w:rPr>
        <w:t xml:space="preserve">ota 3. Considerando que as </w:t>
      </w:r>
      <w:r w:rsidR="00815591">
        <w:rPr>
          <w:lang w:val="pt-BR"/>
        </w:rPr>
        <w:t>n</w:t>
      </w:r>
      <w:r w:rsidRPr="00FB63FA">
        <w:rPr>
          <w:lang w:val="pt-BR"/>
        </w:rPr>
        <w:t xml:space="preserve">otas de </w:t>
      </w:r>
      <w:r w:rsidR="00815591">
        <w:rPr>
          <w:lang w:val="pt-BR"/>
        </w:rPr>
        <w:t>e</w:t>
      </w:r>
      <w:r w:rsidRPr="00FB63FA">
        <w:rPr>
          <w:lang w:val="pt-BR"/>
        </w:rPr>
        <w:t>xcelência (Notas 6 e 7) podem ser conferidas somente àqueles cursos que possuem o nível de Doutorado, tem-se que em torno de 50%, dos cursos de Doutorado foram avaliados como tal. Em anexo, encontram-se informações sobre os Cursos, nota obtida na Avaliação Quadrienal 2017/CAPES, número de alunos por Curso no primeiro semestre de 2018, número de orientadores por Curso no primeiro semestre de 2018, número de teses e dissertações defendidas nos últimos 5 anos.</w:t>
      </w:r>
    </w:p>
    <w:p w:rsidR="00552C18" w:rsidRPr="00FB63FA" w:rsidRDefault="00552C18" w:rsidP="00552C18">
      <w:pPr>
        <w:spacing w:line="360" w:lineRule="auto"/>
        <w:ind w:firstLine="708"/>
        <w:jc w:val="both"/>
        <w:rPr>
          <w:lang w:val="pt-BR"/>
        </w:rPr>
      </w:pPr>
      <w:r w:rsidRPr="00FB63FA">
        <w:rPr>
          <w:lang w:val="pt-BR"/>
        </w:rPr>
        <w:t>A UFMG ofertou, em 20</w:t>
      </w:r>
      <w:r>
        <w:rPr>
          <w:lang w:val="pt-BR"/>
        </w:rPr>
        <w:t>16, 61 cursos de Especialização</w:t>
      </w:r>
      <w:r w:rsidRPr="00FB63FA">
        <w:rPr>
          <w:lang w:val="pt-BR"/>
        </w:rPr>
        <w:t xml:space="preserve"> que, abrangendo todas as áreas do conhecimento, atenderam a mais de 4.600 alunos. Ocorreram em torno de 1.500 conclusões. Importante salientar que a oferta dos cursos de especialização não é regular uma vez que os cursos não oferecem vagas anualmente. Esse aspecto leva a uma flutuação nos números ao longo do tempo. </w:t>
      </w:r>
    </w:p>
    <w:p w:rsidR="00552C18" w:rsidRPr="00FB63FA" w:rsidRDefault="00552C18" w:rsidP="00552C18">
      <w:pPr>
        <w:spacing w:line="360" w:lineRule="auto"/>
        <w:ind w:firstLine="708"/>
        <w:jc w:val="both"/>
        <w:rPr>
          <w:lang w:val="pt-BR"/>
        </w:rPr>
      </w:pPr>
      <w:r w:rsidRPr="00FB63FA">
        <w:rPr>
          <w:lang w:val="pt-BR"/>
        </w:rPr>
        <w:t xml:space="preserve">Um aspecto relevante sobre esta oferta referente ao ano de 2016 é que 16 cursos foram ofertados gratuitamente à comunidade ou com financiamento público. A oferta de cursos de especialização na modalidade a distância também deve ser destacada, dado que </w:t>
      </w:r>
      <w:r w:rsidR="00F53F88">
        <w:rPr>
          <w:lang w:val="pt-BR"/>
        </w:rPr>
        <w:t>cinco</w:t>
      </w:r>
      <w:r w:rsidRPr="00FB63FA">
        <w:rPr>
          <w:lang w:val="pt-BR"/>
        </w:rPr>
        <w:t xml:space="preserve"> foram ofertados e se voltaram para a formação de profissionais para a área da Saúde ou de professores para a Educação Básica com um ingresso de 1.200 alunos.</w:t>
      </w:r>
    </w:p>
    <w:p w:rsidR="00552C18" w:rsidRPr="00FB63FA" w:rsidRDefault="00552C18" w:rsidP="00552C18">
      <w:pPr>
        <w:spacing w:line="360" w:lineRule="auto"/>
        <w:jc w:val="both"/>
        <w:rPr>
          <w:lang w:val="pt-BR"/>
        </w:rPr>
      </w:pPr>
    </w:p>
    <w:p w:rsidR="00552C18" w:rsidRPr="00B81985" w:rsidRDefault="00552C18" w:rsidP="00B81985">
      <w:pPr>
        <w:spacing w:line="360" w:lineRule="auto"/>
        <w:jc w:val="both"/>
        <w:outlineLvl w:val="0"/>
        <w:rPr>
          <w:b/>
          <w:highlight w:val="lightGray"/>
          <w:lang w:val="pt-BR"/>
        </w:rPr>
      </w:pPr>
      <w:r w:rsidRPr="00FB63FA">
        <w:rPr>
          <w:b/>
          <w:lang w:val="pt-BR"/>
        </w:rPr>
        <w:t xml:space="preserve">Histórico: Pós-graduação na modalidade </w:t>
      </w:r>
      <w:r w:rsidRPr="00EF5AC2">
        <w:rPr>
          <w:b/>
          <w:i/>
          <w:lang w:val="pt-BR"/>
        </w:rPr>
        <w:t>stricto sensu</w:t>
      </w:r>
    </w:p>
    <w:p w:rsidR="00D55198" w:rsidRDefault="00B32743" w:rsidP="00D55198">
      <w:pPr>
        <w:spacing w:line="360" w:lineRule="auto"/>
        <w:ind w:firstLine="708"/>
        <w:jc w:val="both"/>
        <w:rPr>
          <w:lang w:val="pt-BR"/>
        </w:rPr>
      </w:pPr>
      <w:r w:rsidRPr="00B32743">
        <w:rPr>
          <w:lang w:val="pt-BR"/>
        </w:rPr>
        <w:t xml:space="preserve">Nos anos iniciais deste século, a pós-graduação na UFMG caracterizou-se por substancial crescimento do número de programas melhor conceituados na avaliação conduzida pela CAPES, conjugado com também expressivo aumento do número de vagas e de matrículas </w:t>
      </w:r>
      <w:r w:rsidR="00D55198">
        <w:rPr>
          <w:lang w:val="pt-BR"/>
        </w:rPr>
        <w:t>em todos os</w:t>
      </w:r>
      <w:r w:rsidRPr="00B32743">
        <w:rPr>
          <w:lang w:val="pt-BR"/>
        </w:rPr>
        <w:t xml:space="preserve"> seus programas. A</w:t>
      </w:r>
      <w:r>
        <w:rPr>
          <w:lang w:val="pt-BR"/>
        </w:rPr>
        <w:t>s</w:t>
      </w:r>
      <w:r w:rsidRPr="00B32743">
        <w:rPr>
          <w:lang w:val="pt-BR"/>
        </w:rPr>
        <w:t xml:space="preserve"> </w:t>
      </w:r>
      <w:r>
        <w:rPr>
          <w:lang w:val="pt-BR"/>
        </w:rPr>
        <w:t>T</w:t>
      </w:r>
      <w:r w:rsidRPr="00B32743">
        <w:rPr>
          <w:lang w:val="pt-BR"/>
        </w:rPr>
        <w:t>abela</w:t>
      </w:r>
      <w:r>
        <w:rPr>
          <w:lang w:val="pt-BR"/>
        </w:rPr>
        <w:t>s I e II</w:t>
      </w:r>
      <w:r w:rsidR="00D55198">
        <w:rPr>
          <w:lang w:val="pt-BR"/>
        </w:rPr>
        <w:t xml:space="preserve"> </w:t>
      </w:r>
      <w:r w:rsidRPr="00B32743">
        <w:rPr>
          <w:lang w:val="pt-BR"/>
        </w:rPr>
        <w:t>evidencia</w:t>
      </w:r>
      <w:r>
        <w:rPr>
          <w:lang w:val="pt-BR"/>
        </w:rPr>
        <w:t>m</w:t>
      </w:r>
      <w:r w:rsidRPr="00B32743">
        <w:rPr>
          <w:lang w:val="pt-BR"/>
        </w:rPr>
        <w:t xml:space="preserve"> ta</w:t>
      </w:r>
      <w:r w:rsidR="00D55198">
        <w:rPr>
          <w:lang w:val="pt-BR"/>
        </w:rPr>
        <w:t>l processo</w:t>
      </w:r>
      <w:r w:rsidRPr="00B32743">
        <w:rPr>
          <w:lang w:val="pt-BR"/>
        </w:rPr>
        <w:t>. Os dados nela apresentados revelam que, ao longo d</w:t>
      </w:r>
      <w:r w:rsidR="00D55198">
        <w:rPr>
          <w:lang w:val="pt-BR"/>
        </w:rPr>
        <w:t>o</w:t>
      </w:r>
      <w:r w:rsidRPr="00B32743">
        <w:rPr>
          <w:lang w:val="pt-BR"/>
        </w:rPr>
        <w:t xml:space="preserve"> </w:t>
      </w:r>
      <w:r w:rsidR="00D55198">
        <w:rPr>
          <w:lang w:val="pt-BR"/>
        </w:rPr>
        <w:t>período dos últimos</w:t>
      </w:r>
      <w:r w:rsidRPr="00B32743">
        <w:rPr>
          <w:lang w:val="pt-BR"/>
        </w:rPr>
        <w:t xml:space="preserve"> 15 anos, a UFMG: </w:t>
      </w:r>
      <w:r w:rsidR="00D55198">
        <w:rPr>
          <w:lang w:val="pt-BR"/>
        </w:rPr>
        <w:t>(</w:t>
      </w:r>
      <w:r w:rsidRPr="00B32743">
        <w:rPr>
          <w:lang w:val="pt-BR"/>
        </w:rPr>
        <w:t xml:space="preserve">i) praticamente triplicou o número e o percentual de programas com </w:t>
      </w:r>
      <w:r w:rsidR="00815591">
        <w:rPr>
          <w:lang w:val="pt-BR"/>
        </w:rPr>
        <w:t>notas</w:t>
      </w:r>
      <w:r w:rsidRPr="00B32743">
        <w:rPr>
          <w:lang w:val="pt-BR"/>
        </w:rPr>
        <w:t xml:space="preserve"> 6 ou 7; </w:t>
      </w:r>
      <w:r w:rsidR="00D55198">
        <w:rPr>
          <w:lang w:val="pt-BR"/>
        </w:rPr>
        <w:t>(</w:t>
      </w:r>
      <w:proofErr w:type="spellStart"/>
      <w:r w:rsidRPr="00B32743">
        <w:rPr>
          <w:lang w:val="pt-BR"/>
        </w:rPr>
        <w:t>ii</w:t>
      </w:r>
      <w:proofErr w:type="spellEnd"/>
      <w:r w:rsidRPr="00B32743">
        <w:rPr>
          <w:lang w:val="pt-BR"/>
        </w:rPr>
        <w:t xml:space="preserve">) aumentou, em 6 vezes, o número de vagas e, em quase 5,5 vezes, o de matrículas; </w:t>
      </w:r>
      <w:r w:rsidR="00D55198">
        <w:rPr>
          <w:lang w:val="pt-BR"/>
        </w:rPr>
        <w:t>(</w:t>
      </w:r>
      <w:proofErr w:type="spellStart"/>
      <w:r w:rsidRPr="00B32743">
        <w:rPr>
          <w:lang w:val="pt-BR"/>
        </w:rPr>
        <w:t>iii</w:t>
      </w:r>
      <w:proofErr w:type="spellEnd"/>
      <w:r w:rsidRPr="00B32743">
        <w:rPr>
          <w:lang w:val="pt-BR"/>
        </w:rPr>
        <w:t xml:space="preserve">) o acréscimo de vagas e de matrículas, foi bem mais pronunciado nos cursos 6 ou 7, que, em seu conjunto, aumentou em 13 vezes o número de vagas e em 12 vezes o número de matrículas; </w:t>
      </w:r>
      <w:r w:rsidR="00D55198">
        <w:rPr>
          <w:lang w:val="pt-BR"/>
        </w:rPr>
        <w:t>(</w:t>
      </w:r>
      <w:proofErr w:type="spellStart"/>
      <w:r w:rsidRPr="00B32743">
        <w:rPr>
          <w:lang w:val="pt-BR"/>
        </w:rPr>
        <w:t>iv</w:t>
      </w:r>
      <w:proofErr w:type="spellEnd"/>
      <w:r w:rsidRPr="00B32743">
        <w:rPr>
          <w:lang w:val="pt-BR"/>
        </w:rPr>
        <w:t>) a relação entre o número de matrículas e o de vagas diminuiu de cerca de 2,7 para aproximadamente 2,4, o que sugere redução do tempo médio de titulação.</w:t>
      </w:r>
      <w:r w:rsidR="004D504A">
        <w:rPr>
          <w:lang w:val="pt-BR"/>
        </w:rPr>
        <w:t xml:space="preserve"> </w:t>
      </w:r>
    </w:p>
    <w:p w:rsidR="004D504A" w:rsidRDefault="004D504A" w:rsidP="00D55198">
      <w:pPr>
        <w:spacing w:line="360" w:lineRule="auto"/>
        <w:ind w:firstLine="708"/>
        <w:jc w:val="both"/>
        <w:rPr>
          <w:lang w:val="pt-BR"/>
        </w:rPr>
      </w:pPr>
      <w:r>
        <w:rPr>
          <w:lang w:val="pt-BR"/>
        </w:rPr>
        <w:lastRenderedPageBreak/>
        <w:t xml:space="preserve">Outra observação importante diz respeito ao processo que veio ocorrendo de criação de novos programas de pós-graduação, que se acentuou nos anos mais recentes, e que em parte explica a persistência de um número ainda significativo de cursos com </w:t>
      </w:r>
      <w:r w:rsidR="00815591">
        <w:rPr>
          <w:lang w:val="pt-BR"/>
        </w:rPr>
        <w:t>notas</w:t>
      </w:r>
      <w:r>
        <w:rPr>
          <w:lang w:val="pt-BR"/>
        </w:rPr>
        <w:t xml:space="preserve"> 3 e 4 na instituição</w:t>
      </w:r>
      <w:r w:rsidR="000A76DA">
        <w:rPr>
          <w:lang w:val="pt-BR"/>
        </w:rPr>
        <w:t>, uma vez que ess</w:t>
      </w:r>
      <w:r w:rsidR="00815591">
        <w:rPr>
          <w:lang w:val="pt-BR"/>
        </w:rPr>
        <w:t>a</w:t>
      </w:r>
      <w:r w:rsidR="000A76DA">
        <w:rPr>
          <w:lang w:val="pt-BR"/>
        </w:rPr>
        <w:t xml:space="preserve">s são </w:t>
      </w:r>
      <w:r w:rsidR="00815591">
        <w:rPr>
          <w:lang w:val="pt-BR"/>
        </w:rPr>
        <w:t>as notas</w:t>
      </w:r>
      <w:r w:rsidR="000A76DA">
        <w:rPr>
          <w:lang w:val="pt-BR"/>
        </w:rPr>
        <w:t xml:space="preserve"> usualmente atribuíd</w:t>
      </w:r>
      <w:r w:rsidR="00A4044A">
        <w:rPr>
          <w:lang w:val="pt-BR"/>
        </w:rPr>
        <w:t>a</w:t>
      </w:r>
      <w:r w:rsidR="000A76DA">
        <w:rPr>
          <w:lang w:val="pt-BR"/>
        </w:rPr>
        <w:t>s a</w:t>
      </w:r>
      <w:r w:rsidR="00D55198">
        <w:rPr>
          <w:lang w:val="pt-BR"/>
        </w:rPr>
        <w:t>os</w:t>
      </w:r>
      <w:r w:rsidR="000A76DA">
        <w:rPr>
          <w:lang w:val="pt-BR"/>
        </w:rPr>
        <w:t xml:space="preserve"> cursos quando </w:t>
      </w:r>
      <w:r w:rsidR="00A4044A">
        <w:rPr>
          <w:lang w:val="pt-BR"/>
        </w:rPr>
        <w:t>de sua criação</w:t>
      </w:r>
      <w:r w:rsidR="000A76DA">
        <w:rPr>
          <w:lang w:val="pt-BR"/>
        </w:rPr>
        <w:t>.</w:t>
      </w:r>
    </w:p>
    <w:p w:rsidR="00785F34" w:rsidRDefault="00785F34" w:rsidP="00552C18">
      <w:pPr>
        <w:spacing w:line="360" w:lineRule="auto"/>
        <w:jc w:val="both"/>
        <w:rPr>
          <w:lang w:val="pt-BR"/>
        </w:rPr>
      </w:pPr>
    </w:p>
    <w:p w:rsidR="00785F34" w:rsidRDefault="00825793" w:rsidP="00552C18">
      <w:pPr>
        <w:spacing w:line="360" w:lineRule="auto"/>
        <w:jc w:val="both"/>
        <w:rPr>
          <w:lang w:val="pt-BR"/>
        </w:rPr>
      </w:pPr>
      <w:r w:rsidRPr="00825793">
        <w:rPr>
          <w:b/>
          <w:lang w:val="pt-BR"/>
        </w:rPr>
        <w:t>Tabela I:</w:t>
      </w:r>
      <w:r>
        <w:rPr>
          <w:lang w:val="pt-BR"/>
        </w:rPr>
        <w:t xml:space="preserve"> Evolução do número</w:t>
      </w:r>
      <w:r w:rsidR="00B32743">
        <w:rPr>
          <w:lang w:val="pt-BR"/>
        </w:rPr>
        <w:t xml:space="preserve"> e do percentual</w:t>
      </w:r>
      <w:r>
        <w:rPr>
          <w:lang w:val="pt-BR"/>
        </w:rPr>
        <w:t xml:space="preserve"> de programas de pós-graduação</w:t>
      </w:r>
      <w:r w:rsidR="00B32743">
        <w:rPr>
          <w:lang w:val="pt-BR"/>
        </w:rPr>
        <w:t xml:space="preserve"> </w:t>
      </w:r>
      <w:r w:rsidR="00B32743" w:rsidRPr="00EF5AC2">
        <w:rPr>
          <w:i/>
          <w:lang w:val="pt-BR"/>
        </w:rPr>
        <w:t>stricto sensu</w:t>
      </w:r>
      <w:r w:rsidR="00C0716F">
        <w:rPr>
          <w:lang w:val="pt-BR"/>
        </w:rPr>
        <w:t xml:space="preserve"> </w:t>
      </w:r>
      <w:r w:rsidR="00B32743">
        <w:rPr>
          <w:lang w:val="pt-BR"/>
        </w:rPr>
        <w:t>d</w:t>
      </w:r>
      <w:r w:rsidR="00C0716F">
        <w:rPr>
          <w:lang w:val="pt-BR"/>
        </w:rPr>
        <w:t>a UFMG</w:t>
      </w:r>
      <w:r>
        <w:rPr>
          <w:lang w:val="pt-BR"/>
        </w:rPr>
        <w:t xml:space="preserve">, por </w:t>
      </w:r>
      <w:r w:rsidR="00815591">
        <w:rPr>
          <w:lang w:val="pt-BR"/>
        </w:rPr>
        <w:t>nota</w:t>
      </w:r>
      <w:r>
        <w:rPr>
          <w:lang w:val="pt-BR"/>
        </w:rPr>
        <w:t>, de 20</w:t>
      </w:r>
      <w:r w:rsidR="00FF75EF">
        <w:rPr>
          <w:lang w:val="pt-BR"/>
        </w:rPr>
        <w:t>07</w:t>
      </w:r>
      <w:r>
        <w:rPr>
          <w:lang w:val="pt-BR"/>
        </w:rPr>
        <w:t xml:space="preserve"> a 2017.</w:t>
      </w:r>
      <w:r w:rsidR="0018623E">
        <w:rPr>
          <w:lang w:val="pt-BR"/>
        </w:rPr>
        <w:t xml:space="preserve"> Os dados de 2007 </w:t>
      </w:r>
      <w:r w:rsidR="00FF75EF">
        <w:rPr>
          <w:lang w:val="pt-BR"/>
        </w:rPr>
        <w:t>referem</w:t>
      </w:r>
      <w:r w:rsidR="0018623E">
        <w:rPr>
          <w:lang w:val="pt-BR"/>
        </w:rPr>
        <w:t>-se</w:t>
      </w:r>
      <w:r w:rsidR="00FF75EF">
        <w:rPr>
          <w:lang w:val="pt-BR"/>
        </w:rPr>
        <w:t xml:space="preserve"> ao p</w:t>
      </w:r>
      <w:r w:rsidR="0018623E">
        <w:rPr>
          <w:lang w:val="pt-BR"/>
        </w:rPr>
        <w:t xml:space="preserve">eríodo 2004-2006, os de 2010 </w:t>
      </w:r>
      <w:r w:rsidR="00FF75EF">
        <w:rPr>
          <w:lang w:val="pt-BR"/>
        </w:rPr>
        <w:t>referem</w:t>
      </w:r>
      <w:r w:rsidR="0018623E">
        <w:rPr>
          <w:lang w:val="pt-BR"/>
        </w:rPr>
        <w:t xml:space="preserve">-se a 2007-2009, os de 2013 </w:t>
      </w:r>
      <w:r w:rsidR="00FF75EF">
        <w:rPr>
          <w:lang w:val="pt-BR"/>
        </w:rPr>
        <w:t>referem</w:t>
      </w:r>
      <w:r w:rsidR="0018623E">
        <w:rPr>
          <w:lang w:val="pt-BR"/>
        </w:rPr>
        <w:t xml:space="preserve">-se a 2010-2012 e os de 2017 </w:t>
      </w:r>
      <w:r w:rsidR="00FF75EF">
        <w:rPr>
          <w:lang w:val="pt-BR"/>
        </w:rPr>
        <w:t>referem</w:t>
      </w:r>
      <w:r w:rsidR="0018623E">
        <w:rPr>
          <w:lang w:val="pt-BR"/>
        </w:rPr>
        <w:t>-se</w:t>
      </w:r>
      <w:r w:rsidR="00FF75EF">
        <w:rPr>
          <w:lang w:val="pt-BR"/>
        </w:rPr>
        <w:t xml:space="preserve"> a 2013-2016.</w:t>
      </w:r>
    </w:p>
    <w:tbl>
      <w:tblPr>
        <w:tblStyle w:val="Tabelacomgrade"/>
        <w:tblW w:w="0" w:type="auto"/>
        <w:jc w:val="center"/>
        <w:tblLook w:val="04A0" w:firstRow="1" w:lastRow="0" w:firstColumn="1" w:lastColumn="0" w:noHBand="0" w:noVBand="1"/>
      </w:tblPr>
      <w:tblGrid>
        <w:gridCol w:w="1491"/>
        <w:gridCol w:w="1432"/>
        <w:gridCol w:w="1433"/>
        <w:gridCol w:w="1432"/>
        <w:gridCol w:w="1433"/>
      </w:tblGrid>
      <w:tr w:rsidR="00886394" w:rsidRPr="00785F34" w:rsidTr="00886394">
        <w:trPr>
          <w:jc w:val="center"/>
        </w:trPr>
        <w:tc>
          <w:tcPr>
            <w:tcW w:w="1491" w:type="dxa"/>
          </w:tcPr>
          <w:p w:rsidR="00886394" w:rsidRPr="00B32743" w:rsidRDefault="00815591"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Nota</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B32743">
              <w:rPr>
                <w:b/>
                <w:sz w:val="20"/>
                <w:szCs w:val="20"/>
                <w:lang w:val="pt-BR"/>
              </w:rPr>
              <w:t>2007</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B32743">
              <w:rPr>
                <w:b/>
                <w:sz w:val="20"/>
                <w:szCs w:val="20"/>
                <w:lang w:val="pt-BR"/>
              </w:rPr>
              <w:t>2010</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B32743">
              <w:rPr>
                <w:b/>
                <w:sz w:val="20"/>
                <w:szCs w:val="20"/>
                <w:lang w:val="pt-BR"/>
              </w:rPr>
              <w:t>2013</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B32743">
              <w:rPr>
                <w:b/>
                <w:sz w:val="20"/>
                <w:szCs w:val="20"/>
                <w:lang w:val="pt-BR"/>
              </w:rPr>
              <w:t>2017</w:t>
            </w:r>
          </w:p>
        </w:tc>
      </w:tr>
      <w:tr w:rsidR="00886394" w:rsidTr="00886394">
        <w:trPr>
          <w:jc w:val="center"/>
        </w:trPr>
        <w:tc>
          <w:tcPr>
            <w:tcW w:w="1491"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7</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4</w:t>
            </w:r>
            <w:r w:rsidR="00947F0E" w:rsidRPr="00B32743">
              <w:rPr>
                <w:sz w:val="20"/>
                <w:szCs w:val="20"/>
                <w:lang w:val="pt-BR"/>
              </w:rPr>
              <w:t xml:space="preserve"> (6%)</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9</w:t>
            </w:r>
            <w:r w:rsidR="00947F0E" w:rsidRPr="00B32743">
              <w:rPr>
                <w:sz w:val="20"/>
                <w:szCs w:val="20"/>
                <w:lang w:val="pt-BR"/>
              </w:rPr>
              <w:t xml:space="preserve"> (13%)</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w:t>
            </w:r>
            <w:r w:rsidR="00FF75EF" w:rsidRPr="00B32743">
              <w:rPr>
                <w:sz w:val="20"/>
                <w:szCs w:val="20"/>
                <w:lang w:val="pt-BR"/>
              </w:rPr>
              <w:t>3</w:t>
            </w:r>
            <w:r w:rsidR="00947F0E" w:rsidRPr="00B32743">
              <w:rPr>
                <w:sz w:val="20"/>
                <w:szCs w:val="20"/>
                <w:lang w:val="pt-BR"/>
              </w:rPr>
              <w:t xml:space="preserve"> (19%)</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w:t>
            </w:r>
            <w:r w:rsidR="0018623E">
              <w:rPr>
                <w:sz w:val="20"/>
                <w:szCs w:val="20"/>
                <w:lang w:val="pt-BR"/>
              </w:rPr>
              <w:t>6</w:t>
            </w:r>
            <w:r w:rsidR="00947F0E" w:rsidRPr="00B32743">
              <w:rPr>
                <w:sz w:val="20"/>
                <w:szCs w:val="20"/>
                <w:lang w:val="pt-BR"/>
              </w:rPr>
              <w:t xml:space="preserve"> </w:t>
            </w:r>
            <w:r w:rsidR="00894864" w:rsidRPr="00B32743">
              <w:rPr>
                <w:sz w:val="20"/>
                <w:szCs w:val="20"/>
                <w:lang w:val="pt-BR"/>
              </w:rPr>
              <w:t>(</w:t>
            </w:r>
            <w:r w:rsidR="0018623E">
              <w:rPr>
                <w:sz w:val="20"/>
                <w:szCs w:val="20"/>
                <w:lang w:val="pt-BR"/>
              </w:rPr>
              <w:t>20</w:t>
            </w:r>
            <w:r w:rsidR="00D94EE6" w:rsidRPr="00B32743">
              <w:rPr>
                <w:sz w:val="20"/>
                <w:szCs w:val="20"/>
                <w:lang w:val="pt-BR"/>
              </w:rPr>
              <w:t>%</w:t>
            </w:r>
            <w:r w:rsidR="00B32743" w:rsidRPr="00B32743">
              <w:rPr>
                <w:sz w:val="20"/>
                <w:szCs w:val="20"/>
                <w:lang w:val="pt-BR"/>
              </w:rPr>
              <w:t>)</w:t>
            </w:r>
          </w:p>
        </w:tc>
      </w:tr>
      <w:tr w:rsidR="00886394" w:rsidTr="00886394">
        <w:trPr>
          <w:jc w:val="center"/>
        </w:trPr>
        <w:tc>
          <w:tcPr>
            <w:tcW w:w="1491"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6</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9</w:t>
            </w:r>
            <w:r w:rsidR="00947F0E" w:rsidRPr="00B32743">
              <w:rPr>
                <w:sz w:val="20"/>
                <w:szCs w:val="20"/>
                <w:lang w:val="pt-BR"/>
              </w:rPr>
              <w:t xml:space="preserve"> (14%)</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16</w:t>
            </w:r>
            <w:r w:rsidR="00947F0E" w:rsidRPr="00B32743">
              <w:rPr>
                <w:sz w:val="20"/>
                <w:szCs w:val="20"/>
                <w:lang w:val="pt-BR"/>
              </w:rPr>
              <w:t xml:space="preserve"> (23%)</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18</w:t>
            </w:r>
            <w:r w:rsidR="00947F0E" w:rsidRPr="00B32743">
              <w:rPr>
                <w:sz w:val="20"/>
                <w:szCs w:val="20"/>
                <w:lang w:val="pt-BR"/>
              </w:rPr>
              <w:t xml:space="preserve"> (26%)</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18</w:t>
            </w:r>
            <w:r w:rsidR="0018623E">
              <w:rPr>
                <w:sz w:val="20"/>
                <w:szCs w:val="20"/>
                <w:lang w:val="pt-BR"/>
              </w:rPr>
              <w:t xml:space="preserve"> (22</w:t>
            </w:r>
            <w:r w:rsidR="00B32743" w:rsidRPr="00B32743">
              <w:rPr>
                <w:sz w:val="20"/>
                <w:szCs w:val="20"/>
                <w:lang w:val="pt-BR"/>
              </w:rPr>
              <w:t>%)</w:t>
            </w:r>
          </w:p>
        </w:tc>
      </w:tr>
      <w:tr w:rsidR="00886394" w:rsidTr="00886394">
        <w:trPr>
          <w:jc w:val="center"/>
        </w:trPr>
        <w:tc>
          <w:tcPr>
            <w:tcW w:w="1491"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5</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27</w:t>
            </w:r>
            <w:r w:rsidR="00947F0E" w:rsidRPr="00B32743">
              <w:rPr>
                <w:sz w:val="20"/>
                <w:szCs w:val="20"/>
                <w:lang w:val="pt-BR"/>
              </w:rPr>
              <w:t xml:space="preserve"> (41%)</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w:t>
            </w:r>
            <w:r w:rsidR="00FF75EF" w:rsidRPr="00B32743">
              <w:rPr>
                <w:sz w:val="20"/>
                <w:szCs w:val="20"/>
                <w:lang w:val="pt-BR"/>
              </w:rPr>
              <w:t>9</w:t>
            </w:r>
            <w:r w:rsidR="00947F0E" w:rsidRPr="00B32743">
              <w:rPr>
                <w:sz w:val="20"/>
                <w:szCs w:val="20"/>
                <w:lang w:val="pt-BR"/>
              </w:rPr>
              <w:t xml:space="preserve"> (27%)</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2</w:t>
            </w:r>
            <w:r w:rsidR="00FF75EF" w:rsidRPr="00B32743">
              <w:rPr>
                <w:sz w:val="20"/>
                <w:szCs w:val="20"/>
                <w:lang w:val="pt-BR"/>
              </w:rPr>
              <w:t>1</w:t>
            </w:r>
            <w:r w:rsidR="00947F0E" w:rsidRPr="00B32743">
              <w:rPr>
                <w:sz w:val="20"/>
                <w:szCs w:val="20"/>
                <w:lang w:val="pt-BR"/>
              </w:rPr>
              <w:t xml:space="preserve"> (30%)</w:t>
            </w:r>
          </w:p>
        </w:tc>
        <w:tc>
          <w:tcPr>
            <w:tcW w:w="1433" w:type="dxa"/>
          </w:tcPr>
          <w:p w:rsidR="00886394" w:rsidRPr="00B32743" w:rsidRDefault="0018623E"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Pr>
                <w:sz w:val="20"/>
                <w:szCs w:val="20"/>
                <w:lang w:val="pt-BR"/>
              </w:rPr>
              <w:t>20 (25</w:t>
            </w:r>
            <w:r w:rsidR="00B32743" w:rsidRPr="00B32743">
              <w:rPr>
                <w:sz w:val="20"/>
                <w:szCs w:val="20"/>
                <w:lang w:val="pt-BR"/>
              </w:rPr>
              <w:t>%)</w:t>
            </w:r>
          </w:p>
        </w:tc>
      </w:tr>
      <w:tr w:rsidR="00886394" w:rsidTr="00886394">
        <w:trPr>
          <w:jc w:val="center"/>
        </w:trPr>
        <w:tc>
          <w:tcPr>
            <w:tcW w:w="1491"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4</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16</w:t>
            </w:r>
            <w:r w:rsidR="00947F0E" w:rsidRPr="00B32743">
              <w:rPr>
                <w:sz w:val="20"/>
                <w:szCs w:val="20"/>
                <w:lang w:val="pt-BR"/>
              </w:rPr>
              <w:t xml:space="preserve"> (24%)</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20</w:t>
            </w:r>
            <w:r w:rsidR="00947F0E" w:rsidRPr="00B32743">
              <w:rPr>
                <w:sz w:val="20"/>
                <w:szCs w:val="20"/>
                <w:lang w:val="pt-BR"/>
              </w:rPr>
              <w:t xml:space="preserve"> (29%)</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13</w:t>
            </w:r>
            <w:r w:rsidR="00947F0E" w:rsidRPr="00B32743">
              <w:rPr>
                <w:sz w:val="20"/>
                <w:szCs w:val="20"/>
                <w:lang w:val="pt-BR"/>
              </w:rPr>
              <w:t xml:space="preserve"> (19%)</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w:t>
            </w:r>
            <w:r w:rsidR="0018623E">
              <w:rPr>
                <w:sz w:val="20"/>
                <w:szCs w:val="20"/>
                <w:lang w:val="pt-BR"/>
              </w:rPr>
              <w:t>9 (24</w:t>
            </w:r>
            <w:r w:rsidR="00B32743" w:rsidRPr="00B32743">
              <w:rPr>
                <w:sz w:val="20"/>
                <w:szCs w:val="20"/>
                <w:lang w:val="pt-BR"/>
              </w:rPr>
              <w:t>%)</w:t>
            </w:r>
          </w:p>
        </w:tc>
      </w:tr>
      <w:tr w:rsidR="00886394" w:rsidTr="00886394">
        <w:trPr>
          <w:jc w:val="center"/>
        </w:trPr>
        <w:tc>
          <w:tcPr>
            <w:tcW w:w="1491"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3</w:t>
            </w:r>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10</w:t>
            </w:r>
            <w:r w:rsidR="00947F0E" w:rsidRPr="00B32743">
              <w:rPr>
                <w:sz w:val="20"/>
                <w:szCs w:val="20"/>
                <w:lang w:val="pt-BR"/>
              </w:rPr>
              <w:t xml:space="preserve"> (15%)</w:t>
            </w:r>
          </w:p>
        </w:tc>
        <w:tc>
          <w:tcPr>
            <w:tcW w:w="1433"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6</w:t>
            </w:r>
            <w:r w:rsidR="00947F0E" w:rsidRPr="00B32743">
              <w:rPr>
                <w:sz w:val="20"/>
                <w:szCs w:val="20"/>
                <w:lang w:val="pt-BR"/>
              </w:rPr>
              <w:t xml:space="preserve"> (9%)</w:t>
            </w:r>
          </w:p>
        </w:tc>
        <w:tc>
          <w:tcPr>
            <w:tcW w:w="1432" w:type="dxa"/>
          </w:tcPr>
          <w:p w:rsidR="00886394" w:rsidRPr="00B32743" w:rsidRDefault="00FF75EF"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5</w:t>
            </w:r>
            <w:r w:rsidR="00947F0E" w:rsidRPr="00B32743">
              <w:rPr>
                <w:sz w:val="20"/>
                <w:szCs w:val="20"/>
                <w:lang w:val="pt-BR"/>
              </w:rPr>
              <w:t xml:space="preserve"> (7%)</w:t>
            </w:r>
          </w:p>
        </w:tc>
        <w:tc>
          <w:tcPr>
            <w:tcW w:w="1433" w:type="dxa"/>
          </w:tcPr>
          <w:p w:rsidR="00886394" w:rsidRPr="00B32743" w:rsidRDefault="0018623E"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Pr>
                <w:sz w:val="20"/>
                <w:szCs w:val="20"/>
                <w:lang w:val="pt-BR"/>
              </w:rPr>
              <w:t>7 (9</w:t>
            </w:r>
            <w:r w:rsidR="00B32743" w:rsidRPr="00B32743">
              <w:rPr>
                <w:sz w:val="20"/>
                <w:szCs w:val="20"/>
                <w:lang w:val="pt-BR"/>
              </w:rPr>
              <w:t>%)</w:t>
            </w:r>
          </w:p>
        </w:tc>
      </w:tr>
      <w:tr w:rsidR="00886394" w:rsidTr="00886394">
        <w:trPr>
          <w:jc w:val="center"/>
        </w:trPr>
        <w:tc>
          <w:tcPr>
            <w:tcW w:w="1491"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proofErr w:type="gramStart"/>
            <w:r w:rsidRPr="00B32743">
              <w:rPr>
                <w:sz w:val="20"/>
                <w:szCs w:val="20"/>
                <w:lang w:val="pt-BR"/>
              </w:rPr>
              <w:t>total</w:t>
            </w:r>
            <w:proofErr w:type="gramEnd"/>
          </w:p>
        </w:tc>
        <w:tc>
          <w:tcPr>
            <w:tcW w:w="1432" w:type="dxa"/>
          </w:tcPr>
          <w:p w:rsidR="00886394" w:rsidRPr="00B32743" w:rsidRDefault="00886394"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66</w:t>
            </w:r>
          </w:p>
        </w:tc>
        <w:tc>
          <w:tcPr>
            <w:tcW w:w="1433" w:type="dxa"/>
          </w:tcPr>
          <w:p w:rsidR="00886394" w:rsidRPr="00B32743" w:rsidRDefault="00FF75EF"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70</w:t>
            </w:r>
          </w:p>
        </w:tc>
        <w:tc>
          <w:tcPr>
            <w:tcW w:w="1432" w:type="dxa"/>
          </w:tcPr>
          <w:p w:rsidR="00886394" w:rsidRPr="00B32743" w:rsidRDefault="00FF75EF"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70</w:t>
            </w:r>
          </w:p>
        </w:tc>
        <w:tc>
          <w:tcPr>
            <w:tcW w:w="1433" w:type="dxa"/>
          </w:tcPr>
          <w:p w:rsidR="00886394" w:rsidRPr="00B32743" w:rsidRDefault="00FF75EF" w:rsidP="00785F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B32743">
              <w:rPr>
                <w:sz w:val="20"/>
                <w:szCs w:val="20"/>
                <w:lang w:val="pt-BR"/>
              </w:rPr>
              <w:t>80</w:t>
            </w:r>
          </w:p>
        </w:tc>
      </w:tr>
    </w:tbl>
    <w:p w:rsidR="000A76DA" w:rsidRDefault="000A76DA" w:rsidP="000A76DA">
      <w:pPr>
        <w:spacing w:line="360" w:lineRule="auto"/>
        <w:ind w:firstLine="708"/>
        <w:jc w:val="both"/>
        <w:rPr>
          <w:rFonts w:ascii="Calibri" w:eastAsia="Times New Roman" w:hAnsi="Calibri" w:cs="Calibri"/>
          <w:color w:val="000000"/>
          <w:sz w:val="18"/>
          <w:szCs w:val="18"/>
          <w:lang w:eastAsia="pt-BR"/>
        </w:rPr>
      </w:pPr>
      <w:r w:rsidRPr="00592BBC">
        <w:rPr>
          <w:rFonts w:ascii="Calibri" w:eastAsia="Times New Roman" w:hAnsi="Calibri" w:cs="Calibri"/>
          <w:color w:val="000000"/>
          <w:sz w:val="18"/>
          <w:szCs w:val="18"/>
          <w:lang w:eastAsia="pt-BR"/>
        </w:rPr>
        <w:t xml:space="preserve">Fonte: </w:t>
      </w:r>
      <w:proofErr w:type="spellStart"/>
      <w:r w:rsidRPr="00592BBC">
        <w:rPr>
          <w:rFonts w:ascii="Calibri" w:eastAsia="Times New Roman" w:hAnsi="Calibri" w:cs="Calibri"/>
          <w:color w:val="000000"/>
          <w:sz w:val="18"/>
          <w:szCs w:val="18"/>
          <w:lang w:eastAsia="pt-BR"/>
        </w:rPr>
        <w:t>Assessoria</w:t>
      </w:r>
      <w:proofErr w:type="spellEnd"/>
      <w:r w:rsidRPr="00592BBC">
        <w:rPr>
          <w:rFonts w:ascii="Calibri" w:eastAsia="Times New Roman" w:hAnsi="Calibri" w:cs="Calibri"/>
          <w:color w:val="000000"/>
          <w:sz w:val="18"/>
          <w:szCs w:val="18"/>
          <w:lang w:eastAsia="pt-BR"/>
        </w:rPr>
        <w:t xml:space="preserve"> </w:t>
      </w:r>
      <w:proofErr w:type="spellStart"/>
      <w:r w:rsidRPr="00592BBC">
        <w:rPr>
          <w:rFonts w:ascii="Calibri" w:eastAsia="Times New Roman" w:hAnsi="Calibri" w:cs="Calibri"/>
          <w:color w:val="000000"/>
          <w:sz w:val="18"/>
          <w:szCs w:val="18"/>
          <w:lang w:eastAsia="pt-BR"/>
        </w:rPr>
        <w:t>Acadêmica</w:t>
      </w:r>
      <w:proofErr w:type="spellEnd"/>
      <w:r w:rsidRPr="00592BBC">
        <w:rPr>
          <w:rFonts w:ascii="Calibri" w:eastAsia="Times New Roman" w:hAnsi="Calibri" w:cs="Calibri"/>
          <w:color w:val="000000"/>
          <w:sz w:val="18"/>
          <w:szCs w:val="18"/>
          <w:lang w:eastAsia="pt-BR"/>
        </w:rPr>
        <w:t>/PRPG</w:t>
      </w:r>
    </w:p>
    <w:p w:rsidR="00D55198" w:rsidRPr="000A76DA" w:rsidRDefault="00D55198" w:rsidP="000A76DA">
      <w:pPr>
        <w:spacing w:line="360" w:lineRule="auto"/>
        <w:ind w:firstLine="708"/>
        <w:jc w:val="both"/>
        <w:rPr>
          <w:rFonts w:ascii="Calibri" w:eastAsia="Times New Roman" w:hAnsi="Calibri" w:cs="Calibri"/>
          <w:color w:val="000000"/>
          <w:sz w:val="18"/>
          <w:szCs w:val="18"/>
          <w:lang w:eastAsia="pt-BR"/>
        </w:rPr>
      </w:pPr>
    </w:p>
    <w:p w:rsidR="00B32743" w:rsidRDefault="00B32743" w:rsidP="00552C18">
      <w:pPr>
        <w:spacing w:line="360" w:lineRule="auto"/>
        <w:jc w:val="both"/>
        <w:rPr>
          <w:lang w:val="pt-BR"/>
        </w:rPr>
      </w:pPr>
      <w:r w:rsidRPr="00825793">
        <w:rPr>
          <w:b/>
          <w:lang w:val="pt-BR"/>
        </w:rPr>
        <w:t>Tabela I</w:t>
      </w:r>
      <w:r>
        <w:rPr>
          <w:b/>
          <w:lang w:val="pt-BR"/>
        </w:rPr>
        <w:t>I</w:t>
      </w:r>
      <w:r w:rsidRPr="00825793">
        <w:rPr>
          <w:b/>
          <w:lang w:val="pt-BR"/>
        </w:rPr>
        <w:t>:</w:t>
      </w:r>
      <w:r>
        <w:rPr>
          <w:lang w:val="pt-BR"/>
        </w:rPr>
        <w:t xml:space="preserve"> Evolução dos números de vagas e de matrículas nos programas de pós-graduação </w:t>
      </w:r>
      <w:r w:rsidRPr="00EF5AC2">
        <w:rPr>
          <w:i/>
          <w:lang w:val="pt-BR"/>
        </w:rPr>
        <w:t>stricto sensu</w:t>
      </w:r>
      <w:r>
        <w:rPr>
          <w:lang w:val="pt-BR"/>
        </w:rPr>
        <w:t xml:space="preserve"> da UFMG, por </w:t>
      </w:r>
      <w:r w:rsidR="00815591">
        <w:rPr>
          <w:lang w:val="pt-BR"/>
        </w:rPr>
        <w:t>nota</w:t>
      </w:r>
      <w:r>
        <w:rPr>
          <w:lang w:val="pt-BR"/>
        </w:rPr>
        <w:t xml:space="preserve">, de 2007 a 2017. </w:t>
      </w:r>
    </w:p>
    <w:tbl>
      <w:tblPr>
        <w:tblStyle w:val="Tabelacomgrade"/>
        <w:tblW w:w="0" w:type="auto"/>
        <w:jc w:val="center"/>
        <w:tblLook w:val="04A0" w:firstRow="1" w:lastRow="0" w:firstColumn="1" w:lastColumn="0" w:noHBand="0" w:noVBand="1"/>
      </w:tblPr>
      <w:tblGrid>
        <w:gridCol w:w="1385"/>
        <w:gridCol w:w="888"/>
        <w:gridCol w:w="889"/>
        <w:gridCol w:w="888"/>
        <w:gridCol w:w="889"/>
        <w:gridCol w:w="889"/>
        <w:gridCol w:w="888"/>
        <w:gridCol w:w="889"/>
        <w:gridCol w:w="889"/>
      </w:tblGrid>
      <w:tr w:rsidR="004D504A" w:rsidRPr="00785F34" w:rsidTr="0019245F">
        <w:trPr>
          <w:jc w:val="center"/>
        </w:trPr>
        <w:tc>
          <w:tcPr>
            <w:tcW w:w="1385" w:type="dxa"/>
          </w:tcPr>
          <w:p w:rsidR="004D504A" w:rsidRPr="004D504A" w:rsidRDefault="00815591"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Nota</w:t>
            </w:r>
          </w:p>
        </w:tc>
        <w:tc>
          <w:tcPr>
            <w:tcW w:w="1777" w:type="dxa"/>
            <w:gridSpan w:val="2"/>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4D504A">
              <w:rPr>
                <w:b/>
                <w:sz w:val="20"/>
                <w:szCs w:val="20"/>
                <w:lang w:val="pt-BR"/>
              </w:rPr>
              <w:t>200</w:t>
            </w:r>
            <w:r>
              <w:rPr>
                <w:b/>
                <w:sz w:val="20"/>
                <w:szCs w:val="20"/>
                <w:lang w:val="pt-BR"/>
              </w:rPr>
              <w:t>4-2006</w:t>
            </w:r>
          </w:p>
        </w:tc>
        <w:tc>
          <w:tcPr>
            <w:tcW w:w="1777" w:type="dxa"/>
            <w:gridSpan w:val="2"/>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4D504A">
              <w:rPr>
                <w:b/>
                <w:sz w:val="20"/>
                <w:szCs w:val="20"/>
                <w:lang w:val="pt-BR"/>
              </w:rPr>
              <w:t>20</w:t>
            </w:r>
            <w:r>
              <w:rPr>
                <w:b/>
                <w:sz w:val="20"/>
                <w:szCs w:val="20"/>
                <w:lang w:val="pt-BR"/>
              </w:rPr>
              <w:t>07-2009</w:t>
            </w:r>
          </w:p>
        </w:tc>
        <w:tc>
          <w:tcPr>
            <w:tcW w:w="1777" w:type="dxa"/>
            <w:gridSpan w:val="2"/>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2010-2012</w:t>
            </w:r>
          </w:p>
        </w:tc>
        <w:tc>
          <w:tcPr>
            <w:tcW w:w="1778" w:type="dxa"/>
            <w:gridSpan w:val="2"/>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2013-2017</w:t>
            </w:r>
          </w:p>
        </w:tc>
      </w:tr>
      <w:tr w:rsidR="004D504A" w:rsidRPr="00785F34" w:rsidTr="004D504A">
        <w:trPr>
          <w:jc w:val="center"/>
        </w:trPr>
        <w:tc>
          <w:tcPr>
            <w:tcW w:w="1385"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p>
        </w:tc>
        <w:tc>
          <w:tcPr>
            <w:tcW w:w="888"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Vagas</w:t>
            </w:r>
          </w:p>
        </w:tc>
        <w:tc>
          <w:tcPr>
            <w:tcW w:w="889"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proofErr w:type="spellStart"/>
            <w:r>
              <w:rPr>
                <w:b/>
                <w:sz w:val="20"/>
                <w:szCs w:val="20"/>
                <w:lang w:val="pt-BR"/>
              </w:rPr>
              <w:t>Matr</w:t>
            </w:r>
            <w:proofErr w:type="spellEnd"/>
            <w:r>
              <w:rPr>
                <w:b/>
                <w:sz w:val="20"/>
                <w:szCs w:val="20"/>
                <w:lang w:val="pt-BR"/>
              </w:rPr>
              <w:t>.</w:t>
            </w:r>
          </w:p>
        </w:tc>
        <w:tc>
          <w:tcPr>
            <w:tcW w:w="888"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Vagas</w:t>
            </w:r>
          </w:p>
        </w:tc>
        <w:tc>
          <w:tcPr>
            <w:tcW w:w="889"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proofErr w:type="spellStart"/>
            <w:r>
              <w:rPr>
                <w:b/>
                <w:sz w:val="20"/>
                <w:szCs w:val="20"/>
                <w:lang w:val="pt-BR"/>
              </w:rPr>
              <w:t>Matr</w:t>
            </w:r>
            <w:proofErr w:type="spellEnd"/>
            <w:r>
              <w:rPr>
                <w:b/>
                <w:sz w:val="20"/>
                <w:szCs w:val="20"/>
                <w:lang w:val="pt-BR"/>
              </w:rPr>
              <w:t>.</w:t>
            </w:r>
          </w:p>
        </w:tc>
        <w:tc>
          <w:tcPr>
            <w:tcW w:w="889"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Vagas</w:t>
            </w:r>
          </w:p>
        </w:tc>
        <w:tc>
          <w:tcPr>
            <w:tcW w:w="888"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proofErr w:type="spellStart"/>
            <w:r>
              <w:rPr>
                <w:b/>
                <w:sz w:val="20"/>
                <w:szCs w:val="20"/>
                <w:lang w:val="pt-BR"/>
              </w:rPr>
              <w:t>Matr</w:t>
            </w:r>
            <w:proofErr w:type="spellEnd"/>
          </w:p>
        </w:tc>
        <w:tc>
          <w:tcPr>
            <w:tcW w:w="889"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Vagas</w:t>
            </w:r>
          </w:p>
        </w:tc>
        <w:tc>
          <w:tcPr>
            <w:tcW w:w="889" w:type="dxa"/>
          </w:tcPr>
          <w:p w:rsidR="004D504A" w:rsidRPr="004D504A" w:rsidRDefault="004D504A" w:rsidP="0026414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proofErr w:type="spellStart"/>
            <w:r>
              <w:rPr>
                <w:b/>
                <w:sz w:val="20"/>
                <w:szCs w:val="20"/>
                <w:lang w:val="pt-BR"/>
              </w:rPr>
              <w:t>Matr</w:t>
            </w:r>
            <w:proofErr w:type="spellEnd"/>
            <w:r>
              <w:rPr>
                <w:b/>
                <w:sz w:val="20"/>
                <w:szCs w:val="20"/>
                <w:lang w:val="pt-BR"/>
              </w:rPr>
              <w:t>.</w:t>
            </w:r>
          </w:p>
        </w:tc>
      </w:tr>
      <w:tr w:rsidR="004D504A" w:rsidTr="004D504A">
        <w:trPr>
          <w:jc w:val="center"/>
        </w:trPr>
        <w:tc>
          <w:tcPr>
            <w:tcW w:w="1385" w:type="dxa"/>
          </w:tcPr>
          <w:p w:rsidR="004D504A" w:rsidRPr="004D504A" w:rsidRDefault="004D504A" w:rsidP="004D50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4D504A">
              <w:rPr>
                <w:sz w:val="20"/>
                <w:szCs w:val="20"/>
                <w:lang w:val="pt-BR"/>
              </w:rPr>
              <w:t>7</w:t>
            </w:r>
          </w:p>
        </w:tc>
        <w:tc>
          <w:tcPr>
            <w:tcW w:w="888" w:type="dxa"/>
          </w:tcPr>
          <w:p w:rsidR="004D504A" w:rsidRPr="004D504A" w:rsidRDefault="004D504A" w:rsidP="004D504A">
            <w:pPr>
              <w:jc w:val="center"/>
              <w:rPr>
                <w:sz w:val="20"/>
              </w:rPr>
            </w:pPr>
            <w:r w:rsidRPr="004D504A">
              <w:rPr>
                <w:sz w:val="20"/>
              </w:rPr>
              <w:t>360</w:t>
            </w:r>
          </w:p>
        </w:tc>
        <w:tc>
          <w:tcPr>
            <w:tcW w:w="889" w:type="dxa"/>
          </w:tcPr>
          <w:p w:rsidR="004D504A" w:rsidRPr="004D504A" w:rsidRDefault="004D504A" w:rsidP="004D504A">
            <w:pPr>
              <w:jc w:val="center"/>
              <w:rPr>
                <w:sz w:val="20"/>
              </w:rPr>
            </w:pPr>
            <w:r w:rsidRPr="004D504A">
              <w:rPr>
                <w:sz w:val="20"/>
              </w:rPr>
              <w:t>1.000</w:t>
            </w:r>
          </w:p>
        </w:tc>
        <w:tc>
          <w:tcPr>
            <w:tcW w:w="888" w:type="dxa"/>
          </w:tcPr>
          <w:p w:rsidR="004D504A" w:rsidRPr="004D504A" w:rsidRDefault="004D504A" w:rsidP="004D504A">
            <w:pPr>
              <w:jc w:val="center"/>
              <w:rPr>
                <w:sz w:val="20"/>
              </w:rPr>
            </w:pPr>
            <w:r w:rsidRPr="004D504A">
              <w:rPr>
                <w:sz w:val="20"/>
              </w:rPr>
              <w:t>710</w:t>
            </w:r>
          </w:p>
        </w:tc>
        <w:tc>
          <w:tcPr>
            <w:tcW w:w="889" w:type="dxa"/>
          </w:tcPr>
          <w:p w:rsidR="004D504A" w:rsidRPr="004D504A" w:rsidRDefault="004D504A" w:rsidP="004D504A">
            <w:pPr>
              <w:jc w:val="center"/>
              <w:rPr>
                <w:sz w:val="20"/>
              </w:rPr>
            </w:pPr>
            <w:r w:rsidRPr="004D504A">
              <w:rPr>
                <w:sz w:val="20"/>
              </w:rPr>
              <w:t>1.720</w:t>
            </w:r>
          </w:p>
        </w:tc>
        <w:tc>
          <w:tcPr>
            <w:tcW w:w="889" w:type="dxa"/>
          </w:tcPr>
          <w:p w:rsidR="004D504A" w:rsidRPr="004D504A" w:rsidRDefault="004D504A" w:rsidP="004D504A">
            <w:pPr>
              <w:jc w:val="center"/>
              <w:rPr>
                <w:sz w:val="20"/>
              </w:rPr>
            </w:pPr>
            <w:r w:rsidRPr="004D504A">
              <w:rPr>
                <w:sz w:val="20"/>
              </w:rPr>
              <w:t>2.029</w:t>
            </w:r>
          </w:p>
        </w:tc>
        <w:tc>
          <w:tcPr>
            <w:tcW w:w="888" w:type="dxa"/>
          </w:tcPr>
          <w:p w:rsidR="004D504A" w:rsidRPr="004D504A" w:rsidRDefault="004D504A" w:rsidP="004D504A">
            <w:pPr>
              <w:jc w:val="center"/>
              <w:rPr>
                <w:sz w:val="20"/>
              </w:rPr>
            </w:pPr>
            <w:r w:rsidRPr="004D504A">
              <w:rPr>
                <w:sz w:val="20"/>
              </w:rPr>
              <w:t>5.208</w:t>
            </w:r>
          </w:p>
        </w:tc>
        <w:tc>
          <w:tcPr>
            <w:tcW w:w="889" w:type="dxa"/>
          </w:tcPr>
          <w:p w:rsidR="004D504A" w:rsidRPr="004D504A" w:rsidRDefault="004D504A" w:rsidP="004D504A">
            <w:pPr>
              <w:jc w:val="center"/>
              <w:rPr>
                <w:sz w:val="20"/>
              </w:rPr>
            </w:pPr>
            <w:r w:rsidRPr="004D504A">
              <w:rPr>
                <w:sz w:val="20"/>
              </w:rPr>
              <w:t>3.863</w:t>
            </w:r>
          </w:p>
        </w:tc>
        <w:tc>
          <w:tcPr>
            <w:tcW w:w="889" w:type="dxa"/>
          </w:tcPr>
          <w:p w:rsidR="004D504A" w:rsidRPr="004D504A" w:rsidRDefault="004D504A" w:rsidP="004D504A">
            <w:pPr>
              <w:jc w:val="center"/>
              <w:rPr>
                <w:sz w:val="20"/>
              </w:rPr>
            </w:pPr>
            <w:r w:rsidRPr="004D504A">
              <w:rPr>
                <w:sz w:val="20"/>
              </w:rPr>
              <w:t>10.483</w:t>
            </w:r>
          </w:p>
        </w:tc>
      </w:tr>
      <w:tr w:rsidR="004D504A" w:rsidTr="004D504A">
        <w:trPr>
          <w:jc w:val="center"/>
        </w:trPr>
        <w:tc>
          <w:tcPr>
            <w:tcW w:w="1385" w:type="dxa"/>
          </w:tcPr>
          <w:p w:rsidR="004D504A" w:rsidRPr="004D504A" w:rsidRDefault="004D504A" w:rsidP="004D50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4D504A">
              <w:rPr>
                <w:sz w:val="20"/>
                <w:szCs w:val="20"/>
                <w:lang w:val="pt-BR"/>
              </w:rPr>
              <w:t>6</w:t>
            </w:r>
          </w:p>
        </w:tc>
        <w:tc>
          <w:tcPr>
            <w:tcW w:w="888" w:type="dxa"/>
          </w:tcPr>
          <w:p w:rsidR="004D504A" w:rsidRPr="004D504A" w:rsidRDefault="004D504A" w:rsidP="004D504A">
            <w:pPr>
              <w:jc w:val="center"/>
              <w:rPr>
                <w:sz w:val="20"/>
              </w:rPr>
            </w:pPr>
            <w:r w:rsidRPr="004D504A">
              <w:rPr>
                <w:sz w:val="20"/>
              </w:rPr>
              <w:t>230</w:t>
            </w:r>
          </w:p>
        </w:tc>
        <w:tc>
          <w:tcPr>
            <w:tcW w:w="889" w:type="dxa"/>
          </w:tcPr>
          <w:p w:rsidR="004D504A" w:rsidRPr="004D504A" w:rsidRDefault="004D504A" w:rsidP="004D504A">
            <w:pPr>
              <w:jc w:val="center"/>
              <w:rPr>
                <w:sz w:val="20"/>
              </w:rPr>
            </w:pPr>
            <w:r w:rsidRPr="004D504A">
              <w:rPr>
                <w:sz w:val="20"/>
              </w:rPr>
              <w:t>660</w:t>
            </w:r>
          </w:p>
        </w:tc>
        <w:tc>
          <w:tcPr>
            <w:tcW w:w="888" w:type="dxa"/>
          </w:tcPr>
          <w:p w:rsidR="004D504A" w:rsidRPr="004D504A" w:rsidRDefault="004D504A" w:rsidP="004D504A">
            <w:pPr>
              <w:jc w:val="center"/>
              <w:rPr>
                <w:sz w:val="20"/>
              </w:rPr>
            </w:pPr>
            <w:r w:rsidRPr="004D504A">
              <w:rPr>
                <w:sz w:val="20"/>
              </w:rPr>
              <w:t>910</w:t>
            </w:r>
          </w:p>
        </w:tc>
        <w:tc>
          <w:tcPr>
            <w:tcW w:w="889" w:type="dxa"/>
          </w:tcPr>
          <w:p w:rsidR="004D504A" w:rsidRPr="004D504A" w:rsidRDefault="004D504A" w:rsidP="004D504A">
            <w:pPr>
              <w:jc w:val="center"/>
              <w:rPr>
                <w:sz w:val="20"/>
              </w:rPr>
            </w:pPr>
            <w:r w:rsidRPr="004D504A">
              <w:rPr>
                <w:sz w:val="20"/>
              </w:rPr>
              <w:t>2.320</w:t>
            </w:r>
          </w:p>
        </w:tc>
        <w:tc>
          <w:tcPr>
            <w:tcW w:w="889" w:type="dxa"/>
          </w:tcPr>
          <w:p w:rsidR="004D504A" w:rsidRPr="004D504A" w:rsidRDefault="004D504A" w:rsidP="004D504A">
            <w:pPr>
              <w:jc w:val="center"/>
              <w:rPr>
                <w:sz w:val="20"/>
              </w:rPr>
            </w:pPr>
            <w:r w:rsidRPr="004D504A">
              <w:rPr>
                <w:sz w:val="20"/>
              </w:rPr>
              <w:t>2.989</w:t>
            </w:r>
          </w:p>
        </w:tc>
        <w:tc>
          <w:tcPr>
            <w:tcW w:w="888" w:type="dxa"/>
          </w:tcPr>
          <w:p w:rsidR="004D504A" w:rsidRPr="004D504A" w:rsidRDefault="004D504A" w:rsidP="004D504A">
            <w:pPr>
              <w:jc w:val="center"/>
              <w:rPr>
                <w:sz w:val="20"/>
              </w:rPr>
            </w:pPr>
            <w:r w:rsidRPr="004D504A">
              <w:rPr>
                <w:sz w:val="20"/>
              </w:rPr>
              <w:t>7.390</w:t>
            </w:r>
          </w:p>
        </w:tc>
        <w:tc>
          <w:tcPr>
            <w:tcW w:w="889" w:type="dxa"/>
          </w:tcPr>
          <w:p w:rsidR="004D504A" w:rsidRPr="004D504A" w:rsidRDefault="004D504A" w:rsidP="004D504A">
            <w:pPr>
              <w:jc w:val="center"/>
              <w:rPr>
                <w:sz w:val="20"/>
              </w:rPr>
            </w:pPr>
            <w:r w:rsidRPr="004D504A">
              <w:rPr>
                <w:sz w:val="20"/>
              </w:rPr>
              <w:t>3.889</w:t>
            </w:r>
          </w:p>
        </w:tc>
        <w:tc>
          <w:tcPr>
            <w:tcW w:w="889" w:type="dxa"/>
          </w:tcPr>
          <w:p w:rsidR="004D504A" w:rsidRPr="004D504A" w:rsidRDefault="004D504A" w:rsidP="004D504A">
            <w:pPr>
              <w:jc w:val="center"/>
              <w:rPr>
                <w:sz w:val="20"/>
              </w:rPr>
            </w:pPr>
            <w:r w:rsidRPr="004D504A">
              <w:rPr>
                <w:sz w:val="20"/>
              </w:rPr>
              <w:t>9.616</w:t>
            </w:r>
          </w:p>
        </w:tc>
      </w:tr>
      <w:tr w:rsidR="004D504A" w:rsidTr="004D504A">
        <w:trPr>
          <w:jc w:val="center"/>
        </w:trPr>
        <w:tc>
          <w:tcPr>
            <w:tcW w:w="1385" w:type="dxa"/>
          </w:tcPr>
          <w:p w:rsidR="004D504A" w:rsidRPr="004D504A" w:rsidRDefault="004D504A" w:rsidP="004D50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4D504A">
              <w:rPr>
                <w:sz w:val="20"/>
                <w:szCs w:val="20"/>
                <w:lang w:val="pt-BR"/>
              </w:rPr>
              <w:t>5</w:t>
            </w:r>
          </w:p>
        </w:tc>
        <w:tc>
          <w:tcPr>
            <w:tcW w:w="888" w:type="dxa"/>
          </w:tcPr>
          <w:p w:rsidR="004D504A" w:rsidRPr="004D504A" w:rsidRDefault="004D504A" w:rsidP="004D504A">
            <w:pPr>
              <w:jc w:val="center"/>
              <w:rPr>
                <w:sz w:val="20"/>
              </w:rPr>
            </w:pPr>
            <w:r w:rsidRPr="004D504A">
              <w:rPr>
                <w:sz w:val="20"/>
              </w:rPr>
              <w:t>1.020</w:t>
            </w:r>
          </w:p>
        </w:tc>
        <w:tc>
          <w:tcPr>
            <w:tcW w:w="889" w:type="dxa"/>
          </w:tcPr>
          <w:p w:rsidR="004D504A" w:rsidRPr="004D504A" w:rsidRDefault="004D504A" w:rsidP="004D504A">
            <w:pPr>
              <w:jc w:val="center"/>
              <w:rPr>
                <w:sz w:val="20"/>
              </w:rPr>
            </w:pPr>
            <w:r w:rsidRPr="004D504A">
              <w:rPr>
                <w:sz w:val="20"/>
              </w:rPr>
              <w:t>2.800</w:t>
            </w:r>
          </w:p>
        </w:tc>
        <w:tc>
          <w:tcPr>
            <w:tcW w:w="888" w:type="dxa"/>
          </w:tcPr>
          <w:p w:rsidR="004D504A" w:rsidRPr="004D504A" w:rsidRDefault="004D504A" w:rsidP="004D504A">
            <w:pPr>
              <w:jc w:val="center"/>
              <w:rPr>
                <w:sz w:val="20"/>
              </w:rPr>
            </w:pPr>
            <w:r w:rsidRPr="004D504A">
              <w:rPr>
                <w:sz w:val="20"/>
              </w:rPr>
              <w:t>780</w:t>
            </w:r>
          </w:p>
        </w:tc>
        <w:tc>
          <w:tcPr>
            <w:tcW w:w="889" w:type="dxa"/>
          </w:tcPr>
          <w:p w:rsidR="004D504A" w:rsidRPr="004D504A" w:rsidRDefault="004D504A" w:rsidP="004D504A">
            <w:pPr>
              <w:jc w:val="center"/>
              <w:rPr>
                <w:sz w:val="20"/>
              </w:rPr>
            </w:pPr>
            <w:r w:rsidRPr="004D504A">
              <w:rPr>
                <w:sz w:val="20"/>
              </w:rPr>
              <w:t>1.740</w:t>
            </w:r>
          </w:p>
        </w:tc>
        <w:tc>
          <w:tcPr>
            <w:tcW w:w="889" w:type="dxa"/>
          </w:tcPr>
          <w:p w:rsidR="004D504A" w:rsidRPr="004D504A" w:rsidRDefault="004D504A" w:rsidP="004D504A">
            <w:pPr>
              <w:jc w:val="center"/>
              <w:rPr>
                <w:sz w:val="20"/>
              </w:rPr>
            </w:pPr>
            <w:r w:rsidRPr="004D504A">
              <w:rPr>
                <w:sz w:val="20"/>
              </w:rPr>
              <w:t>2.408</w:t>
            </w:r>
          </w:p>
        </w:tc>
        <w:tc>
          <w:tcPr>
            <w:tcW w:w="888" w:type="dxa"/>
          </w:tcPr>
          <w:p w:rsidR="004D504A" w:rsidRPr="004D504A" w:rsidRDefault="004D504A" w:rsidP="004D504A">
            <w:pPr>
              <w:jc w:val="center"/>
              <w:rPr>
                <w:sz w:val="20"/>
              </w:rPr>
            </w:pPr>
            <w:r w:rsidRPr="004D504A">
              <w:rPr>
                <w:sz w:val="20"/>
              </w:rPr>
              <w:t>5.754</w:t>
            </w:r>
          </w:p>
        </w:tc>
        <w:tc>
          <w:tcPr>
            <w:tcW w:w="889" w:type="dxa"/>
          </w:tcPr>
          <w:p w:rsidR="004D504A" w:rsidRPr="004D504A" w:rsidRDefault="004D504A" w:rsidP="004D504A">
            <w:pPr>
              <w:jc w:val="center"/>
              <w:rPr>
                <w:sz w:val="20"/>
              </w:rPr>
            </w:pPr>
            <w:r w:rsidRPr="004D504A">
              <w:rPr>
                <w:sz w:val="20"/>
              </w:rPr>
              <w:t>3.531</w:t>
            </w:r>
          </w:p>
        </w:tc>
        <w:tc>
          <w:tcPr>
            <w:tcW w:w="889" w:type="dxa"/>
          </w:tcPr>
          <w:p w:rsidR="004D504A" w:rsidRPr="004D504A" w:rsidRDefault="004D504A" w:rsidP="004D504A">
            <w:pPr>
              <w:jc w:val="center"/>
              <w:rPr>
                <w:sz w:val="20"/>
              </w:rPr>
            </w:pPr>
            <w:r w:rsidRPr="004D504A">
              <w:rPr>
                <w:sz w:val="20"/>
              </w:rPr>
              <w:t>8.707</w:t>
            </w:r>
          </w:p>
        </w:tc>
      </w:tr>
      <w:tr w:rsidR="004D504A" w:rsidTr="004D504A">
        <w:trPr>
          <w:jc w:val="center"/>
        </w:trPr>
        <w:tc>
          <w:tcPr>
            <w:tcW w:w="1385" w:type="dxa"/>
          </w:tcPr>
          <w:p w:rsidR="004D504A" w:rsidRPr="004D504A" w:rsidRDefault="004D504A" w:rsidP="004D50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4D504A">
              <w:rPr>
                <w:sz w:val="20"/>
                <w:szCs w:val="20"/>
                <w:lang w:val="pt-BR"/>
              </w:rPr>
              <w:t>4</w:t>
            </w:r>
          </w:p>
        </w:tc>
        <w:tc>
          <w:tcPr>
            <w:tcW w:w="888" w:type="dxa"/>
          </w:tcPr>
          <w:p w:rsidR="004D504A" w:rsidRPr="004D504A" w:rsidRDefault="004D504A" w:rsidP="004D504A">
            <w:pPr>
              <w:jc w:val="center"/>
              <w:rPr>
                <w:sz w:val="20"/>
              </w:rPr>
            </w:pPr>
            <w:r w:rsidRPr="004D504A">
              <w:rPr>
                <w:sz w:val="20"/>
              </w:rPr>
              <w:t>530</w:t>
            </w:r>
          </w:p>
        </w:tc>
        <w:tc>
          <w:tcPr>
            <w:tcW w:w="889" w:type="dxa"/>
          </w:tcPr>
          <w:p w:rsidR="004D504A" w:rsidRPr="004D504A" w:rsidRDefault="004D504A" w:rsidP="004D504A">
            <w:pPr>
              <w:jc w:val="center"/>
              <w:rPr>
                <w:sz w:val="20"/>
              </w:rPr>
            </w:pPr>
            <w:r w:rsidRPr="004D504A">
              <w:rPr>
                <w:sz w:val="20"/>
              </w:rPr>
              <w:t>1.500</w:t>
            </w:r>
          </w:p>
        </w:tc>
        <w:tc>
          <w:tcPr>
            <w:tcW w:w="888" w:type="dxa"/>
          </w:tcPr>
          <w:p w:rsidR="004D504A" w:rsidRPr="004D504A" w:rsidRDefault="004D504A" w:rsidP="004D504A">
            <w:pPr>
              <w:jc w:val="center"/>
              <w:rPr>
                <w:sz w:val="20"/>
              </w:rPr>
            </w:pPr>
            <w:r w:rsidRPr="004D504A">
              <w:rPr>
                <w:sz w:val="20"/>
              </w:rPr>
              <w:t>570</w:t>
            </w:r>
          </w:p>
        </w:tc>
        <w:tc>
          <w:tcPr>
            <w:tcW w:w="889" w:type="dxa"/>
          </w:tcPr>
          <w:p w:rsidR="004D504A" w:rsidRPr="004D504A" w:rsidRDefault="004D504A" w:rsidP="004D504A">
            <w:pPr>
              <w:jc w:val="center"/>
              <w:rPr>
                <w:sz w:val="20"/>
              </w:rPr>
            </w:pPr>
            <w:r w:rsidRPr="004D504A">
              <w:rPr>
                <w:sz w:val="20"/>
              </w:rPr>
              <w:t>1.320</w:t>
            </w:r>
          </w:p>
        </w:tc>
        <w:tc>
          <w:tcPr>
            <w:tcW w:w="889" w:type="dxa"/>
          </w:tcPr>
          <w:p w:rsidR="004D504A" w:rsidRPr="004D504A" w:rsidRDefault="004D504A" w:rsidP="004D504A">
            <w:pPr>
              <w:jc w:val="center"/>
              <w:rPr>
                <w:sz w:val="20"/>
              </w:rPr>
            </w:pPr>
            <w:r w:rsidRPr="004D504A">
              <w:rPr>
                <w:sz w:val="20"/>
              </w:rPr>
              <w:t>1.885</w:t>
            </w:r>
          </w:p>
        </w:tc>
        <w:tc>
          <w:tcPr>
            <w:tcW w:w="888" w:type="dxa"/>
          </w:tcPr>
          <w:p w:rsidR="004D504A" w:rsidRPr="004D504A" w:rsidRDefault="004D504A" w:rsidP="004D504A">
            <w:pPr>
              <w:jc w:val="center"/>
              <w:rPr>
                <w:sz w:val="20"/>
              </w:rPr>
            </w:pPr>
            <w:r w:rsidRPr="004D504A">
              <w:rPr>
                <w:sz w:val="20"/>
              </w:rPr>
              <w:t>4.274</w:t>
            </w:r>
          </w:p>
        </w:tc>
        <w:tc>
          <w:tcPr>
            <w:tcW w:w="889" w:type="dxa"/>
          </w:tcPr>
          <w:p w:rsidR="004D504A" w:rsidRPr="004D504A" w:rsidRDefault="004D504A" w:rsidP="004D504A">
            <w:pPr>
              <w:jc w:val="center"/>
              <w:rPr>
                <w:sz w:val="20"/>
              </w:rPr>
            </w:pPr>
            <w:r w:rsidRPr="004D504A">
              <w:rPr>
                <w:sz w:val="20"/>
              </w:rPr>
              <w:t>1.888</w:t>
            </w:r>
          </w:p>
        </w:tc>
        <w:tc>
          <w:tcPr>
            <w:tcW w:w="889" w:type="dxa"/>
          </w:tcPr>
          <w:p w:rsidR="004D504A" w:rsidRPr="004D504A" w:rsidRDefault="004D504A" w:rsidP="004D504A">
            <w:pPr>
              <w:jc w:val="center"/>
              <w:rPr>
                <w:sz w:val="20"/>
              </w:rPr>
            </w:pPr>
            <w:r w:rsidRPr="004D504A">
              <w:rPr>
                <w:sz w:val="20"/>
              </w:rPr>
              <w:t>4.120</w:t>
            </w:r>
          </w:p>
        </w:tc>
      </w:tr>
      <w:tr w:rsidR="004D504A" w:rsidTr="004D504A">
        <w:trPr>
          <w:jc w:val="center"/>
        </w:trPr>
        <w:tc>
          <w:tcPr>
            <w:tcW w:w="1385" w:type="dxa"/>
          </w:tcPr>
          <w:p w:rsidR="004D504A" w:rsidRPr="004D504A" w:rsidRDefault="004D504A" w:rsidP="004D50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r w:rsidRPr="004D504A">
              <w:rPr>
                <w:sz w:val="20"/>
                <w:szCs w:val="20"/>
                <w:lang w:val="pt-BR"/>
              </w:rPr>
              <w:t>3</w:t>
            </w:r>
          </w:p>
        </w:tc>
        <w:tc>
          <w:tcPr>
            <w:tcW w:w="888" w:type="dxa"/>
          </w:tcPr>
          <w:p w:rsidR="004D504A" w:rsidRPr="004D504A" w:rsidRDefault="004D504A" w:rsidP="004D504A">
            <w:pPr>
              <w:jc w:val="center"/>
              <w:rPr>
                <w:sz w:val="20"/>
              </w:rPr>
            </w:pPr>
            <w:r w:rsidRPr="004D504A">
              <w:rPr>
                <w:sz w:val="20"/>
              </w:rPr>
              <w:t>150</w:t>
            </w:r>
          </w:p>
        </w:tc>
        <w:tc>
          <w:tcPr>
            <w:tcW w:w="889" w:type="dxa"/>
          </w:tcPr>
          <w:p w:rsidR="004D504A" w:rsidRPr="004D504A" w:rsidRDefault="004D504A" w:rsidP="004D504A">
            <w:pPr>
              <w:jc w:val="center"/>
              <w:rPr>
                <w:sz w:val="20"/>
              </w:rPr>
            </w:pPr>
            <w:r w:rsidRPr="004D504A">
              <w:rPr>
                <w:sz w:val="20"/>
              </w:rPr>
              <w:t>340</w:t>
            </w:r>
          </w:p>
        </w:tc>
        <w:tc>
          <w:tcPr>
            <w:tcW w:w="888" w:type="dxa"/>
          </w:tcPr>
          <w:p w:rsidR="004D504A" w:rsidRPr="004D504A" w:rsidRDefault="004D504A" w:rsidP="004D504A">
            <w:pPr>
              <w:jc w:val="center"/>
              <w:rPr>
                <w:sz w:val="20"/>
              </w:rPr>
            </w:pPr>
            <w:r w:rsidRPr="004D504A">
              <w:rPr>
                <w:sz w:val="20"/>
              </w:rPr>
              <w:t>90</w:t>
            </w:r>
          </w:p>
        </w:tc>
        <w:tc>
          <w:tcPr>
            <w:tcW w:w="889" w:type="dxa"/>
          </w:tcPr>
          <w:p w:rsidR="004D504A" w:rsidRPr="004D504A" w:rsidRDefault="004D504A" w:rsidP="004D504A">
            <w:pPr>
              <w:jc w:val="center"/>
              <w:rPr>
                <w:sz w:val="20"/>
              </w:rPr>
            </w:pPr>
            <w:r w:rsidRPr="004D504A">
              <w:rPr>
                <w:sz w:val="20"/>
              </w:rPr>
              <w:t>200</w:t>
            </w:r>
          </w:p>
        </w:tc>
        <w:tc>
          <w:tcPr>
            <w:tcW w:w="889" w:type="dxa"/>
          </w:tcPr>
          <w:p w:rsidR="004D504A" w:rsidRPr="004D504A" w:rsidRDefault="004D504A" w:rsidP="004D504A">
            <w:pPr>
              <w:jc w:val="center"/>
              <w:rPr>
                <w:sz w:val="20"/>
              </w:rPr>
            </w:pPr>
            <w:r w:rsidRPr="004D504A">
              <w:rPr>
                <w:sz w:val="20"/>
              </w:rPr>
              <w:t>376</w:t>
            </w:r>
          </w:p>
        </w:tc>
        <w:tc>
          <w:tcPr>
            <w:tcW w:w="888" w:type="dxa"/>
          </w:tcPr>
          <w:p w:rsidR="004D504A" w:rsidRPr="004D504A" w:rsidRDefault="004D504A" w:rsidP="004D504A">
            <w:pPr>
              <w:jc w:val="center"/>
              <w:rPr>
                <w:sz w:val="20"/>
              </w:rPr>
            </w:pPr>
            <w:r w:rsidRPr="004D504A">
              <w:rPr>
                <w:sz w:val="20"/>
              </w:rPr>
              <w:t>743</w:t>
            </w:r>
          </w:p>
        </w:tc>
        <w:tc>
          <w:tcPr>
            <w:tcW w:w="889" w:type="dxa"/>
          </w:tcPr>
          <w:p w:rsidR="004D504A" w:rsidRPr="004D504A" w:rsidRDefault="004D504A" w:rsidP="004D504A">
            <w:pPr>
              <w:jc w:val="center"/>
              <w:rPr>
                <w:sz w:val="20"/>
              </w:rPr>
            </w:pPr>
            <w:r w:rsidRPr="004D504A">
              <w:rPr>
                <w:sz w:val="20"/>
              </w:rPr>
              <w:t>684</w:t>
            </w:r>
          </w:p>
        </w:tc>
        <w:tc>
          <w:tcPr>
            <w:tcW w:w="889" w:type="dxa"/>
          </w:tcPr>
          <w:p w:rsidR="004D504A" w:rsidRPr="004D504A" w:rsidRDefault="004D504A" w:rsidP="004D504A">
            <w:pPr>
              <w:jc w:val="center"/>
              <w:rPr>
                <w:sz w:val="20"/>
              </w:rPr>
            </w:pPr>
            <w:r w:rsidRPr="004D504A">
              <w:rPr>
                <w:sz w:val="20"/>
              </w:rPr>
              <w:t>1.708</w:t>
            </w:r>
          </w:p>
        </w:tc>
      </w:tr>
      <w:tr w:rsidR="004D504A" w:rsidTr="004D504A">
        <w:trPr>
          <w:jc w:val="center"/>
        </w:trPr>
        <w:tc>
          <w:tcPr>
            <w:tcW w:w="1385" w:type="dxa"/>
          </w:tcPr>
          <w:p w:rsidR="004D504A" w:rsidRPr="004D504A" w:rsidRDefault="004D504A" w:rsidP="004D50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szCs w:val="20"/>
                <w:lang w:val="pt-BR"/>
              </w:rPr>
            </w:pPr>
            <w:proofErr w:type="gramStart"/>
            <w:r>
              <w:rPr>
                <w:sz w:val="20"/>
                <w:szCs w:val="20"/>
                <w:lang w:val="pt-BR"/>
              </w:rPr>
              <w:t>t</w:t>
            </w:r>
            <w:r w:rsidRPr="004D504A">
              <w:rPr>
                <w:sz w:val="20"/>
                <w:szCs w:val="20"/>
                <w:lang w:val="pt-BR"/>
              </w:rPr>
              <w:t>otal</w:t>
            </w:r>
            <w:proofErr w:type="gramEnd"/>
          </w:p>
        </w:tc>
        <w:tc>
          <w:tcPr>
            <w:tcW w:w="888" w:type="dxa"/>
          </w:tcPr>
          <w:p w:rsidR="004D504A" w:rsidRPr="004D504A" w:rsidRDefault="004D504A" w:rsidP="004D504A">
            <w:pPr>
              <w:jc w:val="center"/>
              <w:rPr>
                <w:sz w:val="20"/>
              </w:rPr>
            </w:pPr>
            <w:r w:rsidRPr="004D504A">
              <w:rPr>
                <w:sz w:val="20"/>
              </w:rPr>
              <w:t>2.300</w:t>
            </w:r>
          </w:p>
        </w:tc>
        <w:tc>
          <w:tcPr>
            <w:tcW w:w="889" w:type="dxa"/>
          </w:tcPr>
          <w:p w:rsidR="004D504A" w:rsidRPr="004D504A" w:rsidRDefault="004D504A" w:rsidP="004D504A">
            <w:pPr>
              <w:jc w:val="center"/>
              <w:rPr>
                <w:sz w:val="20"/>
              </w:rPr>
            </w:pPr>
            <w:r w:rsidRPr="004D504A">
              <w:rPr>
                <w:sz w:val="20"/>
              </w:rPr>
              <w:t>6.300</w:t>
            </w:r>
          </w:p>
        </w:tc>
        <w:tc>
          <w:tcPr>
            <w:tcW w:w="888" w:type="dxa"/>
          </w:tcPr>
          <w:p w:rsidR="004D504A" w:rsidRPr="004D504A" w:rsidRDefault="004D504A" w:rsidP="004D504A">
            <w:pPr>
              <w:jc w:val="center"/>
              <w:rPr>
                <w:sz w:val="20"/>
              </w:rPr>
            </w:pPr>
            <w:r w:rsidRPr="004D504A">
              <w:rPr>
                <w:sz w:val="20"/>
              </w:rPr>
              <w:t>3.060</w:t>
            </w:r>
          </w:p>
        </w:tc>
        <w:tc>
          <w:tcPr>
            <w:tcW w:w="889" w:type="dxa"/>
          </w:tcPr>
          <w:p w:rsidR="004D504A" w:rsidRPr="004D504A" w:rsidRDefault="004D504A" w:rsidP="004D504A">
            <w:pPr>
              <w:jc w:val="center"/>
              <w:rPr>
                <w:sz w:val="20"/>
              </w:rPr>
            </w:pPr>
            <w:r w:rsidRPr="004D504A">
              <w:rPr>
                <w:sz w:val="20"/>
              </w:rPr>
              <w:t>7.300</w:t>
            </w:r>
          </w:p>
        </w:tc>
        <w:tc>
          <w:tcPr>
            <w:tcW w:w="889" w:type="dxa"/>
          </w:tcPr>
          <w:p w:rsidR="004D504A" w:rsidRPr="004D504A" w:rsidRDefault="004D504A" w:rsidP="004D504A">
            <w:pPr>
              <w:jc w:val="center"/>
              <w:rPr>
                <w:sz w:val="20"/>
              </w:rPr>
            </w:pPr>
            <w:r w:rsidRPr="004D504A">
              <w:rPr>
                <w:sz w:val="20"/>
              </w:rPr>
              <w:t>9.687</w:t>
            </w:r>
          </w:p>
        </w:tc>
        <w:tc>
          <w:tcPr>
            <w:tcW w:w="888" w:type="dxa"/>
          </w:tcPr>
          <w:p w:rsidR="004D504A" w:rsidRPr="004D504A" w:rsidRDefault="004D504A" w:rsidP="004D504A">
            <w:pPr>
              <w:jc w:val="center"/>
              <w:rPr>
                <w:sz w:val="20"/>
              </w:rPr>
            </w:pPr>
            <w:r w:rsidRPr="004D504A">
              <w:rPr>
                <w:sz w:val="20"/>
              </w:rPr>
              <w:t>23.369</w:t>
            </w:r>
          </w:p>
        </w:tc>
        <w:tc>
          <w:tcPr>
            <w:tcW w:w="889" w:type="dxa"/>
          </w:tcPr>
          <w:p w:rsidR="004D504A" w:rsidRPr="004D504A" w:rsidRDefault="004D504A" w:rsidP="004D504A">
            <w:pPr>
              <w:jc w:val="center"/>
              <w:rPr>
                <w:sz w:val="20"/>
              </w:rPr>
            </w:pPr>
            <w:r w:rsidRPr="004D504A">
              <w:rPr>
                <w:sz w:val="20"/>
              </w:rPr>
              <w:t>13.855</w:t>
            </w:r>
          </w:p>
        </w:tc>
        <w:tc>
          <w:tcPr>
            <w:tcW w:w="889" w:type="dxa"/>
          </w:tcPr>
          <w:p w:rsidR="004D504A" w:rsidRPr="004D504A" w:rsidRDefault="004D504A" w:rsidP="004D504A">
            <w:pPr>
              <w:jc w:val="center"/>
              <w:rPr>
                <w:sz w:val="20"/>
              </w:rPr>
            </w:pPr>
            <w:r w:rsidRPr="004D504A">
              <w:rPr>
                <w:sz w:val="20"/>
              </w:rPr>
              <w:t>34.634</w:t>
            </w:r>
          </w:p>
        </w:tc>
      </w:tr>
    </w:tbl>
    <w:p w:rsidR="00B32743" w:rsidRDefault="000A76DA" w:rsidP="00552C18">
      <w:pPr>
        <w:spacing w:line="360" w:lineRule="auto"/>
        <w:jc w:val="both"/>
        <w:rPr>
          <w:lang w:val="pt-BR"/>
        </w:rPr>
      </w:pPr>
      <w:r w:rsidRPr="00592BBC">
        <w:rPr>
          <w:rFonts w:ascii="Calibri" w:eastAsia="Times New Roman" w:hAnsi="Calibri" w:cs="Calibri"/>
          <w:color w:val="000000"/>
          <w:sz w:val="18"/>
          <w:szCs w:val="18"/>
          <w:lang w:eastAsia="pt-BR"/>
        </w:rPr>
        <w:t xml:space="preserve">Fonte: </w:t>
      </w:r>
      <w:proofErr w:type="spellStart"/>
      <w:r w:rsidRPr="00592BBC">
        <w:rPr>
          <w:rFonts w:ascii="Calibri" w:eastAsia="Times New Roman" w:hAnsi="Calibri" w:cs="Calibri"/>
          <w:color w:val="000000"/>
          <w:sz w:val="18"/>
          <w:szCs w:val="18"/>
          <w:lang w:eastAsia="pt-BR"/>
        </w:rPr>
        <w:t>Assessoria</w:t>
      </w:r>
      <w:proofErr w:type="spellEnd"/>
      <w:r w:rsidRPr="00592BBC">
        <w:rPr>
          <w:rFonts w:ascii="Calibri" w:eastAsia="Times New Roman" w:hAnsi="Calibri" w:cs="Calibri"/>
          <w:color w:val="000000"/>
          <w:sz w:val="18"/>
          <w:szCs w:val="18"/>
          <w:lang w:eastAsia="pt-BR"/>
        </w:rPr>
        <w:t xml:space="preserve"> </w:t>
      </w:r>
      <w:proofErr w:type="spellStart"/>
      <w:r w:rsidRPr="00592BBC">
        <w:rPr>
          <w:rFonts w:ascii="Calibri" w:eastAsia="Times New Roman" w:hAnsi="Calibri" w:cs="Calibri"/>
          <w:color w:val="000000"/>
          <w:sz w:val="18"/>
          <w:szCs w:val="18"/>
          <w:lang w:eastAsia="pt-BR"/>
        </w:rPr>
        <w:t>Acadêmica</w:t>
      </w:r>
      <w:proofErr w:type="spellEnd"/>
      <w:r w:rsidRPr="00592BBC">
        <w:rPr>
          <w:rFonts w:ascii="Calibri" w:eastAsia="Times New Roman" w:hAnsi="Calibri" w:cs="Calibri"/>
          <w:color w:val="000000"/>
          <w:sz w:val="18"/>
          <w:szCs w:val="18"/>
          <w:lang w:eastAsia="pt-BR"/>
        </w:rPr>
        <w:t>/PRPG</w:t>
      </w:r>
    </w:p>
    <w:p w:rsidR="00B32743" w:rsidRDefault="00B32743" w:rsidP="00552C18">
      <w:pPr>
        <w:spacing w:line="360" w:lineRule="auto"/>
        <w:jc w:val="both"/>
        <w:rPr>
          <w:lang w:val="pt-BR"/>
        </w:rPr>
      </w:pPr>
    </w:p>
    <w:p w:rsidR="00ED0AA4" w:rsidRDefault="00ED0AA4" w:rsidP="00552C18">
      <w:pPr>
        <w:spacing w:line="360" w:lineRule="auto"/>
        <w:jc w:val="both"/>
        <w:rPr>
          <w:lang w:val="pt-BR"/>
        </w:rPr>
      </w:pPr>
      <w:r>
        <w:rPr>
          <w:lang w:val="pt-BR"/>
        </w:rPr>
        <w:tab/>
        <w:t xml:space="preserve">Um aspecto importante a ser observado no crescimento da pós-graduação </w:t>
      </w:r>
      <w:r w:rsidRPr="00ED0AA4">
        <w:rPr>
          <w:i/>
          <w:lang w:val="pt-BR"/>
        </w:rPr>
        <w:t>stricto sensu</w:t>
      </w:r>
      <w:r>
        <w:rPr>
          <w:lang w:val="pt-BR"/>
        </w:rPr>
        <w:t xml:space="preserve"> na UFMG diz respeito à parcela do corpo docente que participa dos programas de pós-graduação. A Tabela III mostra a evolução do número de docentes com credenciamento permanente nesses programas, no período de 2010 a 2018.</w:t>
      </w:r>
    </w:p>
    <w:p w:rsidR="00ED0AA4" w:rsidRDefault="00ED0AA4" w:rsidP="00552C18">
      <w:pPr>
        <w:spacing w:line="360" w:lineRule="auto"/>
        <w:jc w:val="both"/>
        <w:rPr>
          <w:lang w:val="pt-BR"/>
        </w:rPr>
      </w:pPr>
    </w:p>
    <w:p w:rsidR="00ED0AA4" w:rsidRDefault="00ED0AA4" w:rsidP="00552C18">
      <w:pPr>
        <w:spacing w:line="360" w:lineRule="auto"/>
        <w:jc w:val="both"/>
        <w:rPr>
          <w:lang w:val="pt-BR"/>
        </w:rPr>
      </w:pPr>
    </w:p>
    <w:p w:rsidR="00ED0AA4" w:rsidRDefault="00ED0AA4" w:rsidP="00552C18">
      <w:pPr>
        <w:spacing w:line="360" w:lineRule="auto"/>
        <w:jc w:val="both"/>
        <w:rPr>
          <w:lang w:val="pt-BR"/>
        </w:rPr>
      </w:pPr>
    </w:p>
    <w:p w:rsidR="00ED0AA4" w:rsidRDefault="00ED0AA4" w:rsidP="00552C18">
      <w:pPr>
        <w:spacing w:line="360" w:lineRule="auto"/>
        <w:jc w:val="both"/>
        <w:rPr>
          <w:lang w:val="pt-BR"/>
        </w:rPr>
      </w:pPr>
      <w:r w:rsidRPr="00ED0AA4">
        <w:rPr>
          <w:b/>
          <w:lang w:val="pt-BR"/>
        </w:rPr>
        <w:t>Tabela III:</w:t>
      </w:r>
      <w:r>
        <w:rPr>
          <w:lang w:val="pt-BR"/>
        </w:rPr>
        <w:t xml:space="preserve"> Evolução do número total de docentes com credenciamento permanente nos programas de pós-graduação </w:t>
      </w:r>
      <w:r w:rsidRPr="00ED0AA4">
        <w:rPr>
          <w:i/>
          <w:lang w:val="pt-BR"/>
        </w:rPr>
        <w:t>stricto sensu</w:t>
      </w:r>
      <w:r>
        <w:rPr>
          <w:lang w:val="pt-BR"/>
        </w:rPr>
        <w:t xml:space="preserve"> da UFMG, de 2010 a 2018. </w:t>
      </w:r>
    </w:p>
    <w:tbl>
      <w:tblPr>
        <w:tblStyle w:val="Tabelacomgrade"/>
        <w:tblW w:w="0" w:type="auto"/>
        <w:jc w:val="center"/>
        <w:tblLook w:val="04A0" w:firstRow="1" w:lastRow="0" w:firstColumn="1" w:lastColumn="0" w:noHBand="0" w:noVBand="1"/>
      </w:tblPr>
      <w:tblGrid>
        <w:gridCol w:w="943"/>
        <w:gridCol w:w="943"/>
        <w:gridCol w:w="944"/>
        <w:gridCol w:w="944"/>
        <w:gridCol w:w="944"/>
        <w:gridCol w:w="944"/>
        <w:gridCol w:w="944"/>
        <w:gridCol w:w="944"/>
        <w:gridCol w:w="944"/>
      </w:tblGrid>
      <w:tr w:rsidR="00ED0AA4" w:rsidRPr="00ED0AA4" w:rsidTr="00ED0AA4">
        <w:trPr>
          <w:jc w:val="center"/>
        </w:trPr>
        <w:tc>
          <w:tcPr>
            <w:tcW w:w="943"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2010</w:t>
            </w:r>
          </w:p>
        </w:tc>
        <w:tc>
          <w:tcPr>
            <w:tcW w:w="943"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2011</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2012</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2013</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2014</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2015</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2016</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2017</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lang w:val="pt-BR"/>
              </w:rPr>
            </w:pPr>
            <w:r w:rsidRPr="00ED0AA4">
              <w:rPr>
                <w:b/>
                <w:sz w:val="20"/>
                <w:lang w:val="pt-BR"/>
              </w:rPr>
              <w:t>2018</w:t>
            </w:r>
          </w:p>
        </w:tc>
      </w:tr>
      <w:tr w:rsidR="00ED0AA4" w:rsidTr="00ED0AA4">
        <w:trPr>
          <w:jc w:val="center"/>
        </w:trPr>
        <w:tc>
          <w:tcPr>
            <w:tcW w:w="943"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1545</w:t>
            </w:r>
          </w:p>
        </w:tc>
        <w:tc>
          <w:tcPr>
            <w:tcW w:w="943"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1539</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1636</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1707</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1837</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1869</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1918</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2056</w:t>
            </w:r>
          </w:p>
        </w:tc>
        <w:tc>
          <w:tcPr>
            <w:tcW w:w="944" w:type="dxa"/>
          </w:tcPr>
          <w:p w:rsidR="00ED0AA4" w:rsidRPr="00ED0AA4" w:rsidRDefault="00ED0AA4" w:rsidP="00ED0AA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20"/>
                <w:lang w:val="pt-BR"/>
              </w:rPr>
            </w:pPr>
            <w:r w:rsidRPr="00ED0AA4">
              <w:rPr>
                <w:sz w:val="20"/>
                <w:lang w:val="pt-BR"/>
              </w:rPr>
              <w:t>2101</w:t>
            </w:r>
          </w:p>
        </w:tc>
      </w:tr>
    </w:tbl>
    <w:p w:rsidR="00ED0AA4" w:rsidRDefault="00ED0AA4" w:rsidP="00ED0AA4">
      <w:pPr>
        <w:spacing w:line="360" w:lineRule="auto"/>
        <w:jc w:val="both"/>
        <w:rPr>
          <w:lang w:val="pt-BR"/>
        </w:rPr>
      </w:pPr>
      <w:r w:rsidRPr="00592BBC">
        <w:rPr>
          <w:rFonts w:ascii="Calibri" w:eastAsia="Times New Roman" w:hAnsi="Calibri" w:cs="Calibri"/>
          <w:color w:val="000000"/>
          <w:sz w:val="18"/>
          <w:szCs w:val="18"/>
          <w:lang w:eastAsia="pt-BR"/>
        </w:rPr>
        <w:t xml:space="preserve">Fonte: </w:t>
      </w:r>
      <w:proofErr w:type="spellStart"/>
      <w:r w:rsidRPr="00592BBC">
        <w:rPr>
          <w:rFonts w:ascii="Calibri" w:eastAsia="Times New Roman" w:hAnsi="Calibri" w:cs="Calibri"/>
          <w:color w:val="000000"/>
          <w:sz w:val="18"/>
          <w:szCs w:val="18"/>
          <w:lang w:eastAsia="pt-BR"/>
        </w:rPr>
        <w:t>Assessoria</w:t>
      </w:r>
      <w:proofErr w:type="spellEnd"/>
      <w:r w:rsidRPr="00592BBC">
        <w:rPr>
          <w:rFonts w:ascii="Calibri" w:eastAsia="Times New Roman" w:hAnsi="Calibri" w:cs="Calibri"/>
          <w:color w:val="000000"/>
          <w:sz w:val="18"/>
          <w:szCs w:val="18"/>
          <w:lang w:eastAsia="pt-BR"/>
        </w:rPr>
        <w:t xml:space="preserve"> </w:t>
      </w:r>
      <w:proofErr w:type="spellStart"/>
      <w:r w:rsidRPr="00592BBC">
        <w:rPr>
          <w:rFonts w:ascii="Calibri" w:eastAsia="Times New Roman" w:hAnsi="Calibri" w:cs="Calibri"/>
          <w:color w:val="000000"/>
          <w:sz w:val="18"/>
          <w:szCs w:val="18"/>
          <w:lang w:eastAsia="pt-BR"/>
        </w:rPr>
        <w:t>Acadêmica</w:t>
      </w:r>
      <w:proofErr w:type="spellEnd"/>
      <w:r w:rsidRPr="00592BBC">
        <w:rPr>
          <w:rFonts w:ascii="Calibri" w:eastAsia="Times New Roman" w:hAnsi="Calibri" w:cs="Calibri"/>
          <w:color w:val="000000"/>
          <w:sz w:val="18"/>
          <w:szCs w:val="18"/>
          <w:lang w:eastAsia="pt-BR"/>
        </w:rPr>
        <w:t>/PRPG</w:t>
      </w:r>
    </w:p>
    <w:p w:rsidR="00D26111" w:rsidRDefault="00D26111" w:rsidP="00552C18">
      <w:pPr>
        <w:spacing w:line="360" w:lineRule="auto"/>
        <w:jc w:val="both"/>
        <w:rPr>
          <w:lang w:val="pt-BR"/>
        </w:rPr>
      </w:pPr>
    </w:p>
    <w:p w:rsidR="00D26111" w:rsidRDefault="00ED0AA4" w:rsidP="00552C18">
      <w:pPr>
        <w:spacing w:line="360" w:lineRule="auto"/>
        <w:jc w:val="both"/>
        <w:rPr>
          <w:lang w:val="pt-BR"/>
        </w:rPr>
      </w:pPr>
      <w:r>
        <w:rPr>
          <w:lang w:val="pt-BR"/>
        </w:rPr>
        <w:tab/>
        <w:t>Deve-se notar, da análise da T</w:t>
      </w:r>
      <w:r w:rsidR="00B55778">
        <w:rPr>
          <w:lang w:val="pt-BR"/>
        </w:rPr>
        <w:t xml:space="preserve">abela III, </w:t>
      </w:r>
      <w:r>
        <w:rPr>
          <w:lang w:val="pt-BR"/>
        </w:rPr>
        <w:t>a tendência</w:t>
      </w:r>
      <w:r w:rsidR="00B55778">
        <w:rPr>
          <w:lang w:val="pt-BR"/>
        </w:rPr>
        <w:t xml:space="preserve"> verificada nos últimos anos</w:t>
      </w:r>
      <w:r>
        <w:rPr>
          <w:lang w:val="pt-BR"/>
        </w:rPr>
        <w:t xml:space="preserve"> </w:t>
      </w:r>
      <w:r w:rsidR="00B55778">
        <w:rPr>
          <w:lang w:val="pt-BR"/>
        </w:rPr>
        <w:t>a um aumento pronunciado no número de docentes com credenciamento permanente nos programas de pós-graduação da UFMG. Embora haja docentes com credenciamento em dois programas diferentes, o que causa sua dupla contagem nessa tabela, deve-se notar que esses números não incluem os docentes cuja atuação ocorre na categoria de colaborador. Considerando esses dois efeitos, a Tabela III apresenta n</w:t>
      </w:r>
      <w:r w:rsidR="00876297">
        <w:rPr>
          <w:lang w:val="pt-BR"/>
        </w:rPr>
        <w:t>úmeros que se encontram ainda subestimados</w:t>
      </w:r>
      <w:r w:rsidR="00B55778">
        <w:rPr>
          <w:lang w:val="pt-BR"/>
        </w:rPr>
        <w:t xml:space="preserve"> no que diz respeito ao total de docentes da UFMG que atuam na pós-graduação senso estrito. A observação conjunta das informações contidas nas tabelas I e III sugere que esteja em curso um </w:t>
      </w:r>
      <w:r w:rsidR="00876297">
        <w:rPr>
          <w:lang w:val="pt-BR"/>
        </w:rPr>
        <w:t xml:space="preserve">processo de ampliação da proporção de docentes com atuação no nível de pós-graduação que é concomitante com a elevação do patamar qualitativo dos programas de pós-graduação. </w:t>
      </w:r>
    </w:p>
    <w:p w:rsidR="00C0716F" w:rsidRDefault="00C0716F" w:rsidP="00552C18">
      <w:pPr>
        <w:spacing w:line="360" w:lineRule="auto"/>
        <w:jc w:val="both"/>
        <w:rPr>
          <w:lang w:val="pt-BR"/>
        </w:rPr>
      </w:pPr>
      <w:r>
        <w:rPr>
          <w:lang w:val="pt-BR"/>
        </w:rPr>
        <w:tab/>
      </w:r>
      <w:r w:rsidR="000A76DA">
        <w:rPr>
          <w:lang w:val="pt-BR"/>
        </w:rPr>
        <w:t xml:space="preserve">Examinando </w:t>
      </w:r>
      <w:r w:rsidR="00876297">
        <w:rPr>
          <w:lang w:val="pt-BR"/>
        </w:rPr>
        <w:t xml:space="preserve">agora </w:t>
      </w:r>
      <w:r w:rsidR="000A76DA">
        <w:rPr>
          <w:lang w:val="pt-BR"/>
        </w:rPr>
        <w:t>especificamente</w:t>
      </w:r>
      <w:r>
        <w:rPr>
          <w:lang w:val="pt-BR"/>
        </w:rPr>
        <w:t xml:space="preserve"> os programas de mestrado profissional</w:t>
      </w:r>
      <w:r w:rsidR="00ED0AA4">
        <w:rPr>
          <w:lang w:val="pt-BR"/>
        </w:rPr>
        <w:t>, a Tabela IV</w:t>
      </w:r>
      <w:r w:rsidR="000A76DA">
        <w:rPr>
          <w:lang w:val="pt-BR"/>
        </w:rPr>
        <w:t xml:space="preserve"> mostra a</w:t>
      </w:r>
      <w:r>
        <w:rPr>
          <w:lang w:val="pt-BR"/>
        </w:rPr>
        <w:t xml:space="preserve"> evolução do número de programas, com s</w:t>
      </w:r>
      <w:r w:rsidR="00815591">
        <w:rPr>
          <w:lang w:val="pt-BR"/>
        </w:rPr>
        <w:t>ua</w:t>
      </w:r>
      <w:r>
        <w:rPr>
          <w:lang w:val="pt-BR"/>
        </w:rPr>
        <w:t>s respectiv</w:t>
      </w:r>
      <w:r w:rsidR="00815591">
        <w:rPr>
          <w:lang w:val="pt-BR"/>
        </w:rPr>
        <w:t>a</w:t>
      </w:r>
      <w:r>
        <w:rPr>
          <w:lang w:val="pt-BR"/>
        </w:rPr>
        <w:t xml:space="preserve">s </w:t>
      </w:r>
      <w:r w:rsidR="00815591">
        <w:rPr>
          <w:lang w:val="pt-BR"/>
        </w:rPr>
        <w:t>notas</w:t>
      </w:r>
      <w:r w:rsidR="000A76DA">
        <w:rPr>
          <w:lang w:val="pt-BR"/>
        </w:rPr>
        <w:t xml:space="preserve">. Deve-se </w:t>
      </w:r>
      <w:r w:rsidR="00815591">
        <w:rPr>
          <w:lang w:val="pt-BR"/>
        </w:rPr>
        <w:t>observar</w:t>
      </w:r>
      <w:r w:rsidR="000A76DA">
        <w:rPr>
          <w:lang w:val="pt-BR"/>
        </w:rPr>
        <w:t xml:space="preserve"> que esses programas têm história muito mais recente na UFMG.</w:t>
      </w:r>
    </w:p>
    <w:p w:rsidR="00C0716F" w:rsidRDefault="00C0716F" w:rsidP="00552C18">
      <w:pPr>
        <w:spacing w:line="360" w:lineRule="auto"/>
        <w:jc w:val="both"/>
        <w:rPr>
          <w:lang w:val="pt-BR"/>
        </w:rPr>
      </w:pPr>
    </w:p>
    <w:p w:rsidR="00C0716F" w:rsidRDefault="00C0716F" w:rsidP="00552C18">
      <w:pPr>
        <w:spacing w:line="360" w:lineRule="auto"/>
        <w:jc w:val="both"/>
        <w:rPr>
          <w:lang w:val="pt-BR"/>
        </w:rPr>
      </w:pPr>
      <w:r w:rsidRPr="00825793">
        <w:rPr>
          <w:b/>
          <w:lang w:val="pt-BR"/>
        </w:rPr>
        <w:t xml:space="preserve">Tabela </w:t>
      </w:r>
      <w:r w:rsidR="00ED0AA4">
        <w:rPr>
          <w:b/>
          <w:lang w:val="pt-BR"/>
        </w:rPr>
        <w:t>IV</w:t>
      </w:r>
      <w:r w:rsidRPr="00825793">
        <w:rPr>
          <w:b/>
          <w:lang w:val="pt-BR"/>
        </w:rPr>
        <w:t>:</w:t>
      </w:r>
      <w:r>
        <w:rPr>
          <w:lang w:val="pt-BR"/>
        </w:rPr>
        <w:t xml:space="preserve"> Evolução do número de programas do tipo mestrado profissional na UFMG, por </w:t>
      </w:r>
      <w:r w:rsidR="00815591">
        <w:rPr>
          <w:lang w:val="pt-BR"/>
        </w:rPr>
        <w:t>nota</w:t>
      </w:r>
      <w:r>
        <w:rPr>
          <w:lang w:val="pt-BR"/>
        </w:rPr>
        <w:t>, de 2010 a 2017.</w:t>
      </w:r>
    </w:p>
    <w:tbl>
      <w:tblPr>
        <w:tblStyle w:val="Tabelacomgrade"/>
        <w:tblW w:w="0" w:type="auto"/>
        <w:tblLook w:val="04A0" w:firstRow="1" w:lastRow="0" w:firstColumn="1" w:lastColumn="0" w:noHBand="0" w:noVBand="1"/>
      </w:tblPr>
      <w:tblGrid>
        <w:gridCol w:w="2123"/>
        <w:gridCol w:w="2123"/>
        <w:gridCol w:w="2124"/>
        <w:gridCol w:w="2124"/>
      </w:tblGrid>
      <w:tr w:rsidR="00825793" w:rsidRPr="00785F34" w:rsidTr="009F06E0">
        <w:tc>
          <w:tcPr>
            <w:tcW w:w="2123" w:type="dxa"/>
          </w:tcPr>
          <w:p w:rsidR="00825793" w:rsidRPr="00785F34"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pt-BR"/>
              </w:rPr>
            </w:pPr>
            <w:r w:rsidRPr="00785F34">
              <w:rPr>
                <w:b/>
                <w:lang w:val="pt-BR"/>
              </w:rPr>
              <w:t>Nota</w:t>
            </w:r>
          </w:p>
        </w:tc>
        <w:tc>
          <w:tcPr>
            <w:tcW w:w="2123" w:type="dxa"/>
          </w:tcPr>
          <w:p w:rsidR="00825793" w:rsidRPr="00785F34"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pt-BR"/>
              </w:rPr>
            </w:pPr>
            <w:r w:rsidRPr="00785F34">
              <w:rPr>
                <w:b/>
                <w:lang w:val="pt-BR"/>
              </w:rPr>
              <w:t>2010</w:t>
            </w:r>
          </w:p>
        </w:tc>
        <w:tc>
          <w:tcPr>
            <w:tcW w:w="2124" w:type="dxa"/>
          </w:tcPr>
          <w:p w:rsidR="00825793" w:rsidRPr="00785F34"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pt-BR"/>
              </w:rPr>
            </w:pPr>
            <w:r w:rsidRPr="00785F34">
              <w:rPr>
                <w:b/>
                <w:lang w:val="pt-BR"/>
              </w:rPr>
              <w:t>2013</w:t>
            </w:r>
          </w:p>
        </w:tc>
        <w:tc>
          <w:tcPr>
            <w:tcW w:w="2124" w:type="dxa"/>
          </w:tcPr>
          <w:p w:rsidR="00825793" w:rsidRPr="00785F34"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pt-BR"/>
              </w:rPr>
            </w:pPr>
            <w:r w:rsidRPr="00785F34">
              <w:rPr>
                <w:b/>
                <w:lang w:val="pt-BR"/>
              </w:rPr>
              <w:t>2017</w:t>
            </w:r>
          </w:p>
        </w:tc>
      </w:tr>
      <w:tr w:rsidR="00825793" w:rsidTr="009F06E0">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5</w:t>
            </w:r>
          </w:p>
        </w:tc>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1</w:t>
            </w:r>
          </w:p>
        </w:tc>
        <w:tc>
          <w:tcPr>
            <w:tcW w:w="2124" w:type="dxa"/>
          </w:tcPr>
          <w:p w:rsidR="00825793" w:rsidRDefault="00C0716F"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1</w:t>
            </w:r>
          </w:p>
        </w:tc>
        <w:tc>
          <w:tcPr>
            <w:tcW w:w="2124"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1</w:t>
            </w:r>
          </w:p>
        </w:tc>
      </w:tr>
      <w:tr w:rsidR="00825793" w:rsidTr="009F06E0">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4</w:t>
            </w:r>
          </w:p>
        </w:tc>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0</w:t>
            </w:r>
          </w:p>
        </w:tc>
        <w:tc>
          <w:tcPr>
            <w:tcW w:w="2124" w:type="dxa"/>
          </w:tcPr>
          <w:p w:rsidR="00825793" w:rsidRDefault="00C0716F"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0</w:t>
            </w:r>
          </w:p>
        </w:tc>
        <w:tc>
          <w:tcPr>
            <w:tcW w:w="2124" w:type="dxa"/>
          </w:tcPr>
          <w:p w:rsidR="00825793" w:rsidRDefault="00D71B02"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4</w:t>
            </w:r>
          </w:p>
        </w:tc>
      </w:tr>
      <w:tr w:rsidR="00825793" w:rsidTr="009F06E0">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3</w:t>
            </w:r>
          </w:p>
        </w:tc>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0</w:t>
            </w:r>
          </w:p>
        </w:tc>
        <w:tc>
          <w:tcPr>
            <w:tcW w:w="2124" w:type="dxa"/>
          </w:tcPr>
          <w:p w:rsidR="00825793" w:rsidRDefault="00C0716F"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1</w:t>
            </w:r>
          </w:p>
        </w:tc>
        <w:tc>
          <w:tcPr>
            <w:tcW w:w="2124" w:type="dxa"/>
          </w:tcPr>
          <w:p w:rsidR="00825793" w:rsidRDefault="00D71B02"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2</w:t>
            </w:r>
          </w:p>
        </w:tc>
      </w:tr>
      <w:tr w:rsidR="00825793" w:rsidTr="009F06E0">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proofErr w:type="gramStart"/>
            <w:r>
              <w:rPr>
                <w:lang w:val="pt-BR"/>
              </w:rPr>
              <w:t>total</w:t>
            </w:r>
            <w:proofErr w:type="gramEnd"/>
          </w:p>
        </w:tc>
        <w:tc>
          <w:tcPr>
            <w:tcW w:w="2123" w:type="dxa"/>
          </w:tcPr>
          <w:p w:rsidR="00825793" w:rsidRDefault="00825793"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1</w:t>
            </w:r>
          </w:p>
        </w:tc>
        <w:tc>
          <w:tcPr>
            <w:tcW w:w="2124" w:type="dxa"/>
          </w:tcPr>
          <w:p w:rsidR="00825793" w:rsidRDefault="00C0716F"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2</w:t>
            </w:r>
          </w:p>
        </w:tc>
        <w:tc>
          <w:tcPr>
            <w:tcW w:w="2124" w:type="dxa"/>
          </w:tcPr>
          <w:p w:rsidR="00825793" w:rsidRDefault="00D71B02" w:rsidP="009F06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r>
              <w:rPr>
                <w:lang w:val="pt-BR"/>
              </w:rPr>
              <w:t>7</w:t>
            </w:r>
          </w:p>
        </w:tc>
      </w:tr>
    </w:tbl>
    <w:p w:rsidR="00825793" w:rsidRPr="00FB63FA" w:rsidRDefault="00825793" w:rsidP="00552C18">
      <w:pPr>
        <w:spacing w:line="360" w:lineRule="auto"/>
        <w:jc w:val="both"/>
        <w:rPr>
          <w:lang w:val="pt-BR"/>
        </w:rPr>
      </w:pPr>
    </w:p>
    <w:p w:rsidR="00552C18" w:rsidRPr="00FB63FA" w:rsidRDefault="00552C18" w:rsidP="00552C18">
      <w:pPr>
        <w:spacing w:line="360" w:lineRule="auto"/>
        <w:ind w:firstLine="567"/>
        <w:jc w:val="both"/>
        <w:rPr>
          <w:lang w:val="pt-BR"/>
        </w:rPr>
      </w:pPr>
      <w:r w:rsidRPr="00FB63FA">
        <w:rPr>
          <w:lang w:val="pt-BR"/>
        </w:rPr>
        <w:t xml:space="preserve">O primeiro Mestrado Profissional da UFMG, Inovação Tecnológica e Propriedade Intelectual, iniciou suas atividades em 2009. A seguir, em 2011, foi implantado o Mestrado Profissional em Promoção da Saúde e Prevenção da Violência para, em 2014, </w:t>
      </w:r>
      <w:r w:rsidRPr="00FB63FA">
        <w:rPr>
          <w:lang w:val="pt-BR"/>
        </w:rPr>
        <w:lastRenderedPageBreak/>
        <w:t xml:space="preserve">serem iniciados outros três Mestrados </w:t>
      </w:r>
      <w:r w:rsidRPr="00D71B02">
        <w:rPr>
          <w:lang w:val="pt-BR"/>
        </w:rPr>
        <w:t>Profissionais: Microbiologia Aplicada, Educação e Docência e Odontologia em Saúde Pública. Em 2017 foram abertos o Mestrado Profissional em Engenharia Metalúrgica, de Materiais e de Minas e o PROFBIO – Ensino de Biologia em Rede Nacional. Este é um</w:t>
      </w:r>
      <w:r w:rsidRPr="00FB63FA">
        <w:rPr>
          <w:lang w:val="pt-BR"/>
        </w:rPr>
        <w:t xml:space="preserve"> curso em rede que envolve 18 instituições de ensino superior de todas as regiões brasileiras sendo sua sede na UFMG. </w:t>
      </w:r>
      <w:r w:rsidR="0095454F">
        <w:rPr>
          <w:lang w:val="pt-BR"/>
        </w:rPr>
        <w:t>Por fim, em 2018 foi aberto o Mestrado Profissional em Gestão de Serviços de Saúde.</w:t>
      </w:r>
    </w:p>
    <w:p w:rsidR="00552C18" w:rsidRPr="00FB63FA" w:rsidRDefault="00552C18" w:rsidP="00552C18">
      <w:pPr>
        <w:spacing w:line="360" w:lineRule="auto"/>
        <w:ind w:firstLine="567"/>
        <w:jc w:val="both"/>
        <w:rPr>
          <w:lang w:val="pt-BR"/>
        </w:rPr>
      </w:pPr>
      <w:r w:rsidRPr="00FB63FA">
        <w:rPr>
          <w:lang w:val="pt-BR"/>
        </w:rPr>
        <w:t xml:space="preserve">Em se tratando de cursos em rede, a UFMG participa ainda de outros </w:t>
      </w:r>
      <w:r w:rsidR="000A76DA">
        <w:rPr>
          <w:lang w:val="pt-BR"/>
        </w:rPr>
        <w:t>sete</w:t>
      </w:r>
      <w:r w:rsidRPr="00FB63FA">
        <w:rPr>
          <w:lang w:val="pt-BR"/>
        </w:rPr>
        <w:t xml:space="preserve"> cursos nesta modalidade, sendo um desses, Mestrado Acadêmico em Sociedade, Ambiente e Território, aqui sediado. Desse conjunto de cursos em rede, dois são Mestrados Profissionais. Essa associação a outras IES pode envolver parceria com uma outra única instituição ou com várias outras.</w:t>
      </w:r>
    </w:p>
    <w:p w:rsidR="00552C18" w:rsidRPr="00FB63FA" w:rsidRDefault="00552C18" w:rsidP="00552C18">
      <w:pPr>
        <w:pStyle w:val="NormalWeb"/>
        <w:spacing w:before="0" w:beforeAutospacing="0" w:after="0" w:afterAutospacing="0" w:line="360" w:lineRule="auto"/>
        <w:ind w:firstLine="567"/>
        <w:jc w:val="both"/>
        <w:rPr>
          <w:color w:val="000000"/>
        </w:rPr>
      </w:pPr>
      <w:r w:rsidRPr="00FB63FA">
        <w:t>Frente aos desafios mundiais a Pós-Graduação tem ainda se consolidado em suas ações de internacionalização. Tem enviando estud</w:t>
      </w:r>
      <w:r w:rsidR="00C74D49">
        <w:t xml:space="preserve">antes para realizar estágio </w:t>
      </w:r>
      <w:r w:rsidRPr="00FB63FA">
        <w:t>doutoral no exterior além do acolhimento de estudantes oriundos do exterior. Em 2017 foram 195 estudantes bolsistas</w:t>
      </w:r>
      <w:r w:rsidR="00D55198">
        <w:t xml:space="preserve"> de doutorado-sanduíche CAPES</w:t>
      </w:r>
      <w:r w:rsidRPr="00FB63FA">
        <w:t xml:space="preserve"> gerenciados pela Pró-Reitoria, número esse subestimado dentro do universo da UFMG já que vários estudantes realizam esta atividade sem que se tenha o gerenciamento direto da Pró-Reitoria, pois são captações gerenciadas pelos próprios cursos. No momento atual há 32 estudantes em regime de cotutela em diferentes institutos de referência internacional. Da mesma maneira a mobilidade docente é relevante. Contudo, a participação de nossos docentes em atividades no exterior ainda é maior que o acolhimento de pesquisadores estrangeiros visitantes. Com o intuito de incrementar a internacionalização da Pós-Graduação, além da forte parceria existente com a Diretoria de Relações Internacionais, a Pró-Reitoria, desde 2015, estabeleceu a</w:t>
      </w:r>
      <w:r w:rsidRPr="00FB63FA">
        <w:rPr>
          <w:color w:val="000000"/>
        </w:rPr>
        <w:t> </w:t>
      </w:r>
      <w:r w:rsidRPr="00FB63FA">
        <w:rPr>
          <w:rStyle w:val="Forte"/>
          <w:color w:val="000000"/>
        </w:rPr>
        <w:t>Assessoria de Assuntos Internacionais </w:t>
      </w:r>
      <w:r w:rsidRPr="00FB63FA">
        <w:rPr>
          <w:color w:val="000000"/>
        </w:rPr>
        <w:t xml:space="preserve">com as seguintes atribuições: </w:t>
      </w:r>
    </w:p>
    <w:p w:rsidR="00552C18" w:rsidRPr="00FB63FA" w:rsidRDefault="00552C18" w:rsidP="00552C18">
      <w:pPr>
        <w:pStyle w:val="NormalWeb"/>
        <w:numPr>
          <w:ilvl w:val="0"/>
          <w:numId w:val="2"/>
        </w:numPr>
        <w:spacing w:before="0" w:beforeAutospacing="0" w:after="0" w:afterAutospacing="0" w:line="360" w:lineRule="auto"/>
        <w:jc w:val="both"/>
        <w:rPr>
          <w:color w:val="000000"/>
        </w:rPr>
      </w:pPr>
      <w:r w:rsidRPr="00FB63FA">
        <w:rPr>
          <w:color w:val="000000"/>
        </w:rPr>
        <w:t>Promover ações que favoreçam a internacionalização da pós-graduação da UFMG;</w:t>
      </w:r>
    </w:p>
    <w:p w:rsidR="00552C18" w:rsidRPr="00FB63FA" w:rsidRDefault="00552C18" w:rsidP="00552C18">
      <w:pPr>
        <w:pStyle w:val="NormalWeb"/>
        <w:numPr>
          <w:ilvl w:val="0"/>
          <w:numId w:val="2"/>
        </w:numPr>
        <w:spacing w:before="0" w:beforeAutospacing="0" w:after="0" w:afterAutospacing="0" w:line="360" w:lineRule="auto"/>
        <w:jc w:val="both"/>
        <w:rPr>
          <w:color w:val="000000"/>
        </w:rPr>
      </w:pPr>
      <w:r w:rsidRPr="00FB63FA">
        <w:rPr>
          <w:color w:val="000000"/>
        </w:rPr>
        <w:t>Assessorar os colegiados dos programas de pós-graduação sobre o atendimento a estudantes estrangeiros;</w:t>
      </w:r>
    </w:p>
    <w:p w:rsidR="00552C18" w:rsidRPr="00FB63FA" w:rsidRDefault="00552C18" w:rsidP="00552C18">
      <w:pPr>
        <w:pStyle w:val="NormalWeb"/>
        <w:numPr>
          <w:ilvl w:val="0"/>
          <w:numId w:val="2"/>
        </w:numPr>
        <w:spacing w:before="0" w:beforeAutospacing="0" w:after="0" w:afterAutospacing="0" w:line="360" w:lineRule="auto"/>
        <w:jc w:val="both"/>
        <w:rPr>
          <w:color w:val="000000"/>
        </w:rPr>
      </w:pPr>
      <w:r w:rsidRPr="00FB63FA">
        <w:rPr>
          <w:color w:val="000000"/>
        </w:rPr>
        <w:t>Orientar os alunos estrangeiros sobre os procedimentos acadêmicos necessários para sua matrícula e permanência na Universidade;</w:t>
      </w:r>
    </w:p>
    <w:p w:rsidR="00552C18" w:rsidRPr="00FB63FA" w:rsidRDefault="00552C18" w:rsidP="00552C18">
      <w:pPr>
        <w:pStyle w:val="NormalWeb"/>
        <w:numPr>
          <w:ilvl w:val="0"/>
          <w:numId w:val="2"/>
        </w:numPr>
        <w:spacing w:before="0" w:beforeAutospacing="0" w:after="0" w:afterAutospacing="0" w:line="360" w:lineRule="auto"/>
        <w:jc w:val="both"/>
        <w:rPr>
          <w:color w:val="000000"/>
        </w:rPr>
      </w:pPr>
      <w:r w:rsidRPr="00FB63FA">
        <w:rPr>
          <w:color w:val="000000"/>
        </w:rPr>
        <w:t>Providenciar os trâmites relativos a editais de alcance internacional.</w:t>
      </w:r>
    </w:p>
    <w:p w:rsidR="000A76DA" w:rsidRDefault="000A76DA" w:rsidP="000A76DA">
      <w:pPr>
        <w:spacing w:line="360" w:lineRule="auto"/>
        <w:jc w:val="both"/>
        <w:rPr>
          <w:lang w:val="pt-BR"/>
        </w:rPr>
      </w:pPr>
    </w:p>
    <w:p w:rsidR="000A76DA" w:rsidRPr="00FB63FA" w:rsidRDefault="000A76DA" w:rsidP="000A76DA">
      <w:pPr>
        <w:spacing w:line="360" w:lineRule="auto"/>
        <w:jc w:val="both"/>
        <w:rPr>
          <w:lang w:val="pt-BR"/>
        </w:rPr>
      </w:pPr>
    </w:p>
    <w:p w:rsidR="00552C18" w:rsidRPr="00FB63FA" w:rsidRDefault="00552C18" w:rsidP="00552C18">
      <w:pPr>
        <w:spacing w:line="360" w:lineRule="auto"/>
        <w:jc w:val="both"/>
        <w:outlineLvl w:val="0"/>
        <w:rPr>
          <w:b/>
          <w:lang w:val="pt-BR"/>
        </w:rPr>
      </w:pPr>
      <w:r w:rsidRPr="00FB63FA">
        <w:rPr>
          <w:b/>
          <w:lang w:val="pt-BR"/>
        </w:rPr>
        <w:lastRenderedPageBreak/>
        <w:t xml:space="preserve">Histórico: Pós-graduação na modalidade </w:t>
      </w:r>
      <w:r w:rsidRPr="00FB63FA">
        <w:rPr>
          <w:b/>
          <w:i/>
          <w:lang w:val="pt-BR"/>
        </w:rPr>
        <w:t>lato sensu</w:t>
      </w:r>
    </w:p>
    <w:p w:rsidR="00552C18" w:rsidRDefault="00552C18" w:rsidP="00552C18">
      <w:pPr>
        <w:spacing w:line="360" w:lineRule="auto"/>
        <w:ind w:firstLine="709"/>
        <w:jc w:val="both"/>
        <w:rPr>
          <w:lang w:val="pt-BR"/>
        </w:rPr>
      </w:pPr>
      <w:r w:rsidRPr="00FB63FA">
        <w:rPr>
          <w:lang w:val="pt-BR"/>
        </w:rPr>
        <w:t>No segundo semestre de 1986 os cursos de especialização passaram a ser acompanhados pela Pró-Reitoria de Pós-Graduação. Ao longo desses anos, em que se pese seu papel na qualificação de profissionais inseridos nos diferentes setores públicos e privados, tem se observado uma flutuação com tendência de qued</w:t>
      </w:r>
      <w:r w:rsidR="00ED0AA4">
        <w:rPr>
          <w:lang w:val="pt-BR"/>
        </w:rPr>
        <w:t>a nesta modalidade de curso. A Tabela V</w:t>
      </w:r>
      <w:r w:rsidRPr="00FB63FA">
        <w:rPr>
          <w:lang w:val="pt-BR"/>
        </w:rPr>
        <w:t xml:space="preserve">, referente aos anos 2007 a 2017, demonstra esta tendência. Este aspecto aponta para uma migração de esforços para a expansão e a consolidação da Pós-Graduação </w:t>
      </w:r>
      <w:r w:rsidRPr="00FB63FA">
        <w:rPr>
          <w:i/>
          <w:lang w:val="pt-BR"/>
        </w:rPr>
        <w:t>stricto sensu</w:t>
      </w:r>
      <w:r w:rsidRPr="00FB63FA">
        <w:rPr>
          <w:lang w:val="pt-BR"/>
        </w:rPr>
        <w:t>.</w:t>
      </w:r>
    </w:p>
    <w:p w:rsidR="000A76DA" w:rsidRPr="00FB63FA" w:rsidRDefault="00ED0AA4" w:rsidP="000A76DA">
      <w:pPr>
        <w:spacing w:line="360" w:lineRule="auto"/>
        <w:jc w:val="center"/>
        <w:rPr>
          <w:lang w:val="pt-BR"/>
        </w:rPr>
      </w:pPr>
      <w:r>
        <w:rPr>
          <w:b/>
          <w:lang w:val="pt-BR"/>
        </w:rPr>
        <w:t xml:space="preserve">Tabela </w:t>
      </w:r>
      <w:r w:rsidR="000A76DA" w:rsidRPr="000A76DA">
        <w:rPr>
          <w:b/>
          <w:lang w:val="pt-BR"/>
        </w:rPr>
        <w:t>V:</w:t>
      </w:r>
      <w:r w:rsidR="000A76DA">
        <w:rPr>
          <w:lang w:val="pt-BR"/>
        </w:rPr>
        <w:t xml:space="preserve"> Pós-graduação </w:t>
      </w:r>
      <w:r w:rsidR="000A76DA" w:rsidRPr="00EF5AC2">
        <w:rPr>
          <w:i/>
          <w:lang w:val="pt-BR"/>
        </w:rPr>
        <w:t>lato sensu</w:t>
      </w:r>
      <w:r w:rsidR="000A76DA">
        <w:rPr>
          <w:lang w:val="pt-BR"/>
        </w:rPr>
        <w:t xml:space="preserve"> na UFMG: 2007-2017.</w:t>
      </w:r>
    </w:p>
    <w:tbl>
      <w:tblPr>
        <w:tblW w:w="5000" w:type="pct"/>
        <w:tblCellMar>
          <w:left w:w="70" w:type="dxa"/>
          <w:right w:w="70" w:type="dxa"/>
        </w:tblCellMar>
        <w:tblLook w:val="04A0" w:firstRow="1" w:lastRow="0" w:firstColumn="1" w:lastColumn="0" w:noHBand="0" w:noVBand="1"/>
      </w:tblPr>
      <w:tblGrid>
        <w:gridCol w:w="1669"/>
        <w:gridCol w:w="635"/>
        <w:gridCol w:w="635"/>
        <w:gridCol w:w="635"/>
        <w:gridCol w:w="635"/>
        <w:gridCol w:w="635"/>
        <w:gridCol w:w="635"/>
        <w:gridCol w:w="635"/>
        <w:gridCol w:w="580"/>
        <w:gridCol w:w="580"/>
        <w:gridCol w:w="580"/>
        <w:gridCol w:w="640"/>
      </w:tblGrid>
      <w:tr w:rsidR="00552C18" w:rsidRPr="00FB63FA" w:rsidTr="00D90DA9">
        <w:trPr>
          <w:trHeight w:val="288"/>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Ano</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2007</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2008</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2009</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2010</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2011</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2012</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2013</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2014</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2015</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2016</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552C18" w:rsidRPr="000A76DA" w:rsidRDefault="00552C18" w:rsidP="00D90DA9">
            <w:pPr>
              <w:spacing w:line="360" w:lineRule="auto"/>
              <w:jc w:val="center"/>
              <w:rPr>
                <w:rFonts w:eastAsia="Times New Roman"/>
                <w:b/>
                <w:bCs/>
                <w:color w:val="000000"/>
                <w:sz w:val="20"/>
                <w:szCs w:val="20"/>
                <w:lang w:val="pt-BR" w:eastAsia="pt-BR"/>
              </w:rPr>
            </w:pPr>
            <w:r w:rsidRPr="000A76DA">
              <w:rPr>
                <w:rFonts w:eastAsia="Times New Roman"/>
                <w:b/>
                <w:bCs/>
                <w:color w:val="000000"/>
                <w:sz w:val="20"/>
                <w:szCs w:val="20"/>
                <w:lang w:val="pt-BR" w:eastAsia="pt-BR"/>
              </w:rPr>
              <w:t>2017*</w:t>
            </w:r>
          </w:p>
        </w:tc>
      </w:tr>
      <w:tr w:rsidR="00552C18" w:rsidRPr="00FB63FA" w:rsidTr="00D90DA9">
        <w:trPr>
          <w:trHeight w:val="30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552C18" w:rsidRPr="000A76DA" w:rsidRDefault="00552C18" w:rsidP="00D90DA9">
            <w:pPr>
              <w:spacing w:line="360" w:lineRule="auto"/>
              <w:rPr>
                <w:rFonts w:eastAsia="Times New Roman"/>
                <w:b/>
                <w:bCs/>
                <w:color w:val="000000"/>
                <w:sz w:val="20"/>
                <w:szCs w:val="20"/>
                <w:lang w:val="pt-BR" w:eastAsia="pt-BR"/>
              </w:rPr>
            </w:pPr>
            <w:r w:rsidRPr="000A76DA">
              <w:rPr>
                <w:rFonts w:eastAsia="Times New Roman"/>
                <w:b/>
                <w:bCs/>
                <w:color w:val="000000"/>
                <w:sz w:val="20"/>
                <w:szCs w:val="20"/>
                <w:lang w:val="pt-BR" w:eastAsia="pt-BR"/>
              </w:rPr>
              <w:t xml:space="preserve">Número de Cursos </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73</w:t>
            </w:r>
          </w:p>
        </w:tc>
        <w:tc>
          <w:tcPr>
            <w:tcW w:w="336"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83</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81</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80</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79</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77</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68</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66</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67</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61</w:t>
            </w:r>
          </w:p>
        </w:tc>
        <w:tc>
          <w:tcPr>
            <w:tcW w:w="417"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55</w:t>
            </w:r>
          </w:p>
        </w:tc>
      </w:tr>
      <w:tr w:rsidR="00552C18" w:rsidRPr="00FB63FA" w:rsidTr="00D90DA9">
        <w:trPr>
          <w:trHeight w:val="30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552C18" w:rsidRPr="000A76DA" w:rsidRDefault="00552C18" w:rsidP="00D90DA9">
            <w:pPr>
              <w:spacing w:line="360" w:lineRule="auto"/>
              <w:rPr>
                <w:rFonts w:eastAsia="Times New Roman"/>
                <w:b/>
                <w:bCs/>
                <w:color w:val="000000"/>
                <w:sz w:val="20"/>
                <w:szCs w:val="20"/>
                <w:lang w:val="pt-BR" w:eastAsia="pt-BR"/>
              </w:rPr>
            </w:pPr>
            <w:r w:rsidRPr="000A76DA">
              <w:rPr>
                <w:rFonts w:eastAsia="Times New Roman"/>
                <w:b/>
                <w:bCs/>
                <w:color w:val="000000"/>
                <w:sz w:val="20"/>
                <w:szCs w:val="20"/>
                <w:lang w:val="pt-BR" w:eastAsia="pt-BR"/>
              </w:rPr>
              <w:t xml:space="preserve">Número de Vagas </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3.088</w:t>
            </w:r>
          </w:p>
        </w:tc>
        <w:tc>
          <w:tcPr>
            <w:tcW w:w="336"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5.671</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3.670</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4.768</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3.444</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4.364</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3.106</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5058</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2850</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3409</w:t>
            </w:r>
          </w:p>
        </w:tc>
        <w:tc>
          <w:tcPr>
            <w:tcW w:w="417"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3963</w:t>
            </w:r>
          </w:p>
        </w:tc>
      </w:tr>
      <w:tr w:rsidR="00552C18" w:rsidRPr="00FB63FA" w:rsidTr="00D90DA9">
        <w:trPr>
          <w:trHeight w:val="30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552C18" w:rsidRPr="000A76DA" w:rsidRDefault="00552C18" w:rsidP="00D90DA9">
            <w:pPr>
              <w:spacing w:line="360" w:lineRule="auto"/>
              <w:rPr>
                <w:rFonts w:eastAsia="Times New Roman"/>
                <w:b/>
                <w:bCs/>
                <w:color w:val="000000"/>
                <w:sz w:val="20"/>
                <w:szCs w:val="20"/>
                <w:lang w:val="pt-BR" w:eastAsia="pt-BR"/>
              </w:rPr>
            </w:pPr>
            <w:r w:rsidRPr="000A76DA">
              <w:rPr>
                <w:rFonts w:eastAsia="Times New Roman"/>
                <w:b/>
                <w:bCs/>
                <w:color w:val="000000"/>
                <w:sz w:val="20"/>
                <w:szCs w:val="20"/>
                <w:lang w:val="pt-BR" w:eastAsia="pt-BR"/>
              </w:rPr>
              <w:t xml:space="preserve">Número </w:t>
            </w:r>
            <w:r w:rsidR="000A76DA" w:rsidRPr="000A76DA">
              <w:rPr>
                <w:rFonts w:eastAsia="Times New Roman"/>
                <w:b/>
                <w:bCs/>
                <w:color w:val="000000"/>
                <w:sz w:val="20"/>
                <w:szCs w:val="20"/>
                <w:lang w:val="pt-BR" w:eastAsia="pt-BR"/>
              </w:rPr>
              <w:t xml:space="preserve">de </w:t>
            </w:r>
            <w:r w:rsidRPr="000A76DA">
              <w:rPr>
                <w:rFonts w:eastAsia="Times New Roman"/>
                <w:b/>
                <w:bCs/>
                <w:color w:val="000000"/>
                <w:sz w:val="20"/>
                <w:szCs w:val="20"/>
                <w:lang w:val="pt-BR" w:eastAsia="pt-BR"/>
              </w:rPr>
              <w:t xml:space="preserve">Alunos Novos </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2.358</w:t>
            </w:r>
          </w:p>
        </w:tc>
        <w:tc>
          <w:tcPr>
            <w:tcW w:w="336"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4.490</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2.735</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3.436</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2.258</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3.161</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2.339</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3799</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1439</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1284</w:t>
            </w:r>
          </w:p>
        </w:tc>
        <w:tc>
          <w:tcPr>
            <w:tcW w:w="417"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2730</w:t>
            </w:r>
          </w:p>
        </w:tc>
      </w:tr>
      <w:tr w:rsidR="00552C18" w:rsidRPr="00FB63FA" w:rsidTr="00D90DA9">
        <w:trPr>
          <w:trHeight w:val="30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552C18" w:rsidRPr="000A76DA" w:rsidRDefault="00552C18" w:rsidP="00D90DA9">
            <w:pPr>
              <w:spacing w:line="360" w:lineRule="auto"/>
              <w:rPr>
                <w:rFonts w:eastAsia="Times New Roman"/>
                <w:b/>
                <w:bCs/>
                <w:color w:val="000000"/>
                <w:sz w:val="20"/>
                <w:szCs w:val="20"/>
                <w:lang w:val="pt-BR" w:eastAsia="pt-BR"/>
              </w:rPr>
            </w:pPr>
            <w:r w:rsidRPr="000A76DA">
              <w:rPr>
                <w:rFonts w:eastAsia="Times New Roman"/>
                <w:b/>
                <w:bCs/>
                <w:color w:val="000000"/>
                <w:sz w:val="20"/>
                <w:szCs w:val="20"/>
                <w:lang w:val="pt-BR" w:eastAsia="pt-BR"/>
              </w:rPr>
              <w:t xml:space="preserve">Número Total de Alunos </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6.248</w:t>
            </w:r>
          </w:p>
        </w:tc>
        <w:tc>
          <w:tcPr>
            <w:tcW w:w="336"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7.365</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6.656</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7.060</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6.015</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6.157</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4.013</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7036</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6400</w:t>
            </w:r>
          </w:p>
        </w:tc>
        <w:tc>
          <w:tcPr>
            <w:tcW w:w="333"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4644</w:t>
            </w:r>
          </w:p>
        </w:tc>
        <w:tc>
          <w:tcPr>
            <w:tcW w:w="417" w:type="pct"/>
            <w:tcBorders>
              <w:top w:val="nil"/>
              <w:left w:val="nil"/>
              <w:bottom w:val="single" w:sz="4" w:space="0" w:color="auto"/>
              <w:right w:val="single" w:sz="4" w:space="0" w:color="auto"/>
            </w:tcBorders>
            <w:shd w:val="clear" w:color="auto" w:fill="auto"/>
            <w:vAlign w:val="center"/>
            <w:hideMark/>
          </w:tcPr>
          <w:p w:rsidR="00552C18" w:rsidRPr="000A76DA" w:rsidRDefault="00552C18" w:rsidP="00D90DA9">
            <w:pPr>
              <w:spacing w:line="360" w:lineRule="auto"/>
              <w:jc w:val="center"/>
              <w:rPr>
                <w:rFonts w:eastAsia="Times New Roman"/>
                <w:color w:val="000000"/>
                <w:sz w:val="20"/>
                <w:szCs w:val="20"/>
                <w:lang w:val="pt-BR" w:eastAsia="pt-BR"/>
              </w:rPr>
            </w:pPr>
            <w:r w:rsidRPr="000A76DA">
              <w:rPr>
                <w:rFonts w:eastAsia="Times New Roman"/>
                <w:color w:val="000000"/>
                <w:sz w:val="20"/>
                <w:szCs w:val="20"/>
                <w:lang w:val="pt-BR" w:eastAsia="pt-BR"/>
              </w:rPr>
              <w:t>4473</w:t>
            </w:r>
          </w:p>
        </w:tc>
      </w:tr>
      <w:tr w:rsidR="00552C18" w:rsidRPr="00FB63FA" w:rsidTr="00D90DA9">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2C18" w:rsidRPr="00FB63FA" w:rsidRDefault="00552C18" w:rsidP="00D90DA9">
            <w:pPr>
              <w:spacing w:line="360" w:lineRule="auto"/>
              <w:rPr>
                <w:rFonts w:eastAsia="Times New Roman"/>
                <w:b/>
                <w:bCs/>
                <w:color w:val="000000"/>
                <w:sz w:val="22"/>
                <w:szCs w:val="22"/>
                <w:lang w:val="pt-BR" w:eastAsia="pt-BR"/>
              </w:rPr>
            </w:pPr>
            <w:r w:rsidRPr="00FB63FA">
              <w:rPr>
                <w:rFonts w:eastAsia="Times New Roman"/>
                <w:b/>
                <w:bCs/>
                <w:color w:val="000000"/>
                <w:sz w:val="22"/>
                <w:szCs w:val="22"/>
                <w:lang w:val="pt-BR" w:eastAsia="pt-BR"/>
              </w:rPr>
              <w:t>Número de Conclusões</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1.862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1.867</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2.099</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2.132</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2.080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1.937</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1.859</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1578</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2226</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1424</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552C18" w:rsidRPr="00FB63FA" w:rsidRDefault="00552C18" w:rsidP="00D90DA9">
            <w:pPr>
              <w:spacing w:line="360" w:lineRule="auto"/>
              <w:jc w:val="center"/>
              <w:rPr>
                <w:rFonts w:eastAsia="Times New Roman"/>
                <w:color w:val="000000"/>
                <w:sz w:val="22"/>
                <w:szCs w:val="22"/>
                <w:lang w:val="pt-BR" w:eastAsia="pt-BR"/>
              </w:rPr>
            </w:pPr>
            <w:r w:rsidRPr="00FB63FA">
              <w:rPr>
                <w:rFonts w:eastAsia="Times New Roman"/>
                <w:color w:val="000000"/>
                <w:sz w:val="22"/>
                <w:szCs w:val="22"/>
                <w:lang w:val="pt-BR" w:eastAsia="pt-BR"/>
              </w:rPr>
              <w:t>920</w:t>
            </w:r>
          </w:p>
        </w:tc>
      </w:tr>
      <w:tr w:rsidR="00552C18" w:rsidRPr="00D26111" w:rsidTr="00D90DA9">
        <w:trPr>
          <w:trHeight w:val="480"/>
        </w:trPr>
        <w:tc>
          <w:tcPr>
            <w:tcW w:w="5000" w:type="pct"/>
            <w:gridSpan w:val="12"/>
            <w:tcBorders>
              <w:top w:val="single" w:sz="4" w:space="0" w:color="auto"/>
              <w:bottom w:val="nil"/>
              <w:right w:val="nil"/>
            </w:tcBorders>
            <w:shd w:val="clear" w:color="auto" w:fill="auto"/>
            <w:vAlign w:val="center"/>
            <w:hideMark/>
          </w:tcPr>
          <w:p w:rsidR="00552C18" w:rsidRPr="00FB63FA" w:rsidRDefault="00552C18" w:rsidP="00D90DA9">
            <w:pPr>
              <w:spacing w:line="360" w:lineRule="auto"/>
              <w:rPr>
                <w:rFonts w:eastAsia="Times New Roman"/>
                <w:color w:val="000000"/>
                <w:sz w:val="22"/>
                <w:szCs w:val="22"/>
                <w:lang w:val="pt-BR" w:eastAsia="pt-BR"/>
              </w:rPr>
            </w:pPr>
            <w:r w:rsidRPr="00FB63FA">
              <w:rPr>
                <w:rFonts w:eastAsia="Times New Roman"/>
                <w:color w:val="000000"/>
                <w:sz w:val="22"/>
                <w:szCs w:val="22"/>
                <w:lang w:val="pt-BR" w:eastAsia="pt-BR"/>
              </w:rPr>
              <w:t>Fonte: Assessoria Acadêmica/PRPG -  * 2017 - Dados parciais</w:t>
            </w:r>
          </w:p>
        </w:tc>
      </w:tr>
    </w:tbl>
    <w:p w:rsidR="00552C18" w:rsidRPr="00FB63FA" w:rsidRDefault="00552C18" w:rsidP="00552C18">
      <w:pPr>
        <w:spacing w:line="360" w:lineRule="auto"/>
        <w:ind w:firstLine="709"/>
        <w:jc w:val="both"/>
        <w:rPr>
          <w:lang w:val="pt-BR"/>
        </w:rPr>
      </w:pPr>
      <w:r w:rsidRPr="00FB63FA">
        <w:rPr>
          <w:lang w:val="pt-BR"/>
        </w:rPr>
        <w:t>Importante destacar que, no ano de 2014, houve a inserção de um maior número de alunos novos. Isso ocorreu por conta do oferecimento de 2.472 vagas de cursos a distância, muitos com financiamento do Ministério da Educação ou Saúde que utilizam polos da Universidade Aberta do Brasil – UAB. Em 2017 houve também um considerável número de alunos de EAD, sendo um total de 2001. Em anexo encontram-se informações detalhadas dos cursos de especialização oferecidos no ano de 2016.</w:t>
      </w:r>
    </w:p>
    <w:p w:rsidR="00552C18" w:rsidRPr="00FB63FA" w:rsidRDefault="00552C18" w:rsidP="00552C18">
      <w:pPr>
        <w:spacing w:line="360" w:lineRule="auto"/>
        <w:ind w:firstLine="709"/>
        <w:jc w:val="both"/>
        <w:rPr>
          <w:lang w:val="pt-BR"/>
        </w:rPr>
      </w:pPr>
      <w:r w:rsidRPr="00FB63FA">
        <w:rPr>
          <w:lang w:val="pt-BR"/>
        </w:rPr>
        <w:t xml:space="preserve">Um aspecto essencial para a UFMG é o fato de que, para os cursos de pós-graduação </w:t>
      </w:r>
      <w:r w:rsidRPr="00FB63FA">
        <w:rPr>
          <w:i/>
          <w:lang w:val="pt-BR"/>
        </w:rPr>
        <w:t>lato sensu,</w:t>
      </w:r>
      <w:r w:rsidRPr="00FB63FA">
        <w:rPr>
          <w:lang w:val="pt-BR"/>
        </w:rPr>
        <w:t xml:space="preserve"> não há um sistema nacional de avaliação. Quando de sua abertura ou </w:t>
      </w:r>
      <w:proofErr w:type="spellStart"/>
      <w:r w:rsidRPr="00FB63FA">
        <w:rPr>
          <w:lang w:val="pt-BR"/>
        </w:rPr>
        <w:t>reoferta</w:t>
      </w:r>
      <w:proofErr w:type="spellEnd"/>
      <w:r w:rsidRPr="00FB63FA">
        <w:rPr>
          <w:lang w:val="pt-BR"/>
        </w:rPr>
        <w:t>, esses cursos passam por uma criteriosa avaliação realizada pela Assessoria Acadêmica da Pró-Reitoria de Pós-Graduação para, em seguida, serem analisados pela Câmara de Pós-Graduação. Cont</w:t>
      </w:r>
      <w:r w:rsidR="00C74D49">
        <w:rPr>
          <w:lang w:val="pt-BR"/>
        </w:rPr>
        <w:t>udo, ainda não está implementada</w:t>
      </w:r>
      <w:r w:rsidRPr="00FB63FA">
        <w:rPr>
          <w:lang w:val="pt-BR"/>
        </w:rPr>
        <w:t xml:space="preserve"> uma metodologia de </w:t>
      </w:r>
      <w:proofErr w:type="spellStart"/>
      <w:r w:rsidRPr="00FB63FA">
        <w:rPr>
          <w:lang w:val="pt-BR"/>
        </w:rPr>
        <w:t>auto-avaliação</w:t>
      </w:r>
      <w:proofErr w:type="spellEnd"/>
      <w:r w:rsidRPr="00FB63FA">
        <w:rPr>
          <w:lang w:val="pt-BR"/>
        </w:rPr>
        <w:t xml:space="preserve"> das ações desenvolvidas e dos resultados obtidos. Desta feita, estruturar este sistema de avaliação interna passa a ser um desafio a ser enfrentado.</w:t>
      </w:r>
    </w:p>
    <w:p w:rsidR="00552C18" w:rsidRPr="00FB63FA" w:rsidRDefault="00552C18" w:rsidP="00552C18">
      <w:pPr>
        <w:spacing w:line="360" w:lineRule="auto"/>
        <w:ind w:firstLine="709"/>
        <w:jc w:val="both"/>
        <w:rPr>
          <w:lang w:val="pt-BR"/>
        </w:rPr>
      </w:pPr>
    </w:p>
    <w:p w:rsidR="00552C18" w:rsidRPr="00FB63FA" w:rsidRDefault="00552C18" w:rsidP="00552C18">
      <w:pPr>
        <w:spacing w:line="360" w:lineRule="auto"/>
        <w:jc w:val="both"/>
        <w:outlineLvl w:val="0"/>
        <w:rPr>
          <w:b/>
          <w:lang w:val="pt-BR"/>
        </w:rPr>
      </w:pPr>
      <w:r w:rsidRPr="00FB63FA">
        <w:rPr>
          <w:b/>
          <w:lang w:val="pt-BR"/>
        </w:rPr>
        <w:t>Programa</w:t>
      </w:r>
      <w:r w:rsidR="00AD5E2F">
        <w:rPr>
          <w:b/>
          <w:lang w:val="pt-BR"/>
        </w:rPr>
        <w:t>s</w:t>
      </w:r>
      <w:r w:rsidRPr="00FB63FA">
        <w:rPr>
          <w:b/>
          <w:lang w:val="pt-BR"/>
        </w:rPr>
        <w:t xml:space="preserve"> de Bolsas Pós-Graduação</w:t>
      </w:r>
    </w:p>
    <w:p w:rsidR="003A1B87" w:rsidRDefault="003A1B87" w:rsidP="00552C18">
      <w:pPr>
        <w:spacing w:line="360" w:lineRule="auto"/>
        <w:jc w:val="both"/>
        <w:rPr>
          <w:lang w:val="pt-BR"/>
        </w:rPr>
      </w:pPr>
      <w:r w:rsidRPr="003A1B87">
        <w:rPr>
          <w:lang w:val="pt-BR"/>
        </w:rPr>
        <w:lastRenderedPageBreak/>
        <w:tab/>
      </w:r>
      <w:r>
        <w:rPr>
          <w:lang w:val="pt-BR"/>
        </w:rPr>
        <w:t xml:space="preserve">A disponibilidade de bolsas que permitam a dedicação integral dos estudantes às atividades acadêmicas trata-se de fator essencial para a constituição de um ambiente propício à pós-graduação de excelência. </w:t>
      </w:r>
      <w:r w:rsidRPr="003A1B87">
        <w:rPr>
          <w:lang w:val="pt-BR"/>
        </w:rPr>
        <w:t>A Tabela V</w:t>
      </w:r>
      <w:r w:rsidR="00ED0AA4">
        <w:rPr>
          <w:lang w:val="pt-BR"/>
        </w:rPr>
        <w:t>I</w:t>
      </w:r>
      <w:r w:rsidRPr="003A1B87">
        <w:rPr>
          <w:lang w:val="pt-BR"/>
        </w:rPr>
        <w:t xml:space="preserve"> sumariza</w:t>
      </w:r>
      <w:r w:rsidRPr="00FB63FA">
        <w:rPr>
          <w:lang w:val="pt-BR"/>
        </w:rPr>
        <w:t xml:space="preserve"> os dados referentes às bolsas de mestrado</w:t>
      </w:r>
      <w:r>
        <w:rPr>
          <w:lang w:val="pt-BR"/>
        </w:rPr>
        <w:t>,</w:t>
      </w:r>
      <w:r w:rsidRPr="00FB63FA">
        <w:rPr>
          <w:lang w:val="pt-BR"/>
        </w:rPr>
        <w:t xml:space="preserve"> doutorado</w:t>
      </w:r>
      <w:r>
        <w:rPr>
          <w:lang w:val="pt-BR"/>
        </w:rPr>
        <w:t xml:space="preserve"> e pós-doutorado </w:t>
      </w:r>
      <w:r w:rsidRPr="00FB63FA">
        <w:rPr>
          <w:lang w:val="pt-BR"/>
        </w:rPr>
        <w:t>atribuídas</w:t>
      </w:r>
      <w:r w:rsidR="002B7516">
        <w:rPr>
          <w:lang w:val="pt-BR"/>
        </w:rPr>
        <w:t xml:space="preserve"> por agências governamentais de fomento</w:t>
      </w:r>
      <w:r w:rsidRPr="00FB63FA">
        <w:rPr>
          <w:lang w:val="pt-BR"/>
        </w:rPr>
        <w:t xml:space="preserve"> a estudantes da UFMG, entre</w:t>
      </w:r>
      <w:r>
        <w:rPr>
          <w:lang w:val="pt-BR"/>
        </w:rPr>
        <w:t xml:space="preserve"> 2014 e 2018. </w:t>
      </w:r>
      <w:r w:rsidR="002B7516">
        <w:rPr>
          <w:lang w:val="pt-BR"/>
        </w:rPr>
        <w:t xml:space="preserve">Deve-se notar que há bolsas concedidas </w:t>
      </w:r>
      <w:r w:rsidR="00A03F4D">
        <w:rPr>
          <w:lang w:val="pt-BR"/>
        </w:rPr>
        <w:t xml:space="preserve">no </w:t>
      </w:r>
      <w:r w:rsidR="002B7516">
        <w:rPr>
          <w:lang w:val="pt-BR"/>
        </w:rPr>
        <w:t>âmbito de convênios com o setor privado e que não são contabilizadas nessa tabela.</w:t>
      </w:r>
    </w:p>
    <w:p w:rsidR="003A1B87" w:rsidRDefault="003A1B87" w:rsidP="00552C18">
      <w:pPr>
        <w:spacing w:line="360" w:lineRule="auto"/>
        <w:jc w:val="both"/>
        <w:rPr>
          <w:lang w:val="pt-BR"/>
        </w:rPr>
      </w:pPr>
    </w:p>
    <w:p w:rsidR="003A1B87" w:rsidRDefault="003A1B87" w:rsidP="00552C18">
      <w:pPr>
        <w:spacing w:line="360" w:lineRule="auto"/>
        <w:jc w:val="both"/>
        <w:rPr>
          <w:lang w:val="pt-BR"/>
        </w:rPr>
      </w:pPr>
      <w:r w:rsidRPr="00C70D6B">
        <w:rPr>
          <w:b/>
          <w:lang w:val="pt-BR"/>
        </w:rPr>
        <w:t>Tabela V</w:t>
      </w:r>
      <w:r w:rsidR="00ED0AA4">
        <w:rPr>
          <w:b/>
          <w:lang w:val="pt-BR"/>
        </w:rPr>
        <w:t>I</w:t>
      </w:r>
      <w:r w:rsidRPr="00C70D6B">
        <w:rPr>
          <w:b/>
          <w:lang w:val="pt-BR"/>
        </w:rPr>
        <w:t>:</w:t>
      </w:r>
      <w:r>
        <w:rPr>
          <w:lang w:val="pt-BR"/>
        </w:rPr>
        <w:t xml:space="preserve"> Número de bolsas de </w:t>
      </w:r>
      <w:r w:rsidR="00C70D6B">
        <w:rPr>
          <w:lang w:val="pt-BR"/>
        </w:rPr>
        <w:t xml:space="preserve">mestrado, doutorado e pós-doutorado concedidas à UFMG por agências governamentais de fomento. </w:t>
      </w:r>
    </w:p>
    <w:tbl>
      <w:tblPr>
        <w:tblStyle w:val="Tabelacomgrade"/>
        <w:tblW w:w="0" w:type="auto"/>
        <w:tblInd w:w="-289" w:type="dxa"/>
        <w:tblLook w:val="04A0" w:firstRow="1" w:lastRow="0" w:firstColumn="1" w:lastColumn="0" w:noHBand="0" w:noVBand="1"/>
      </w:tblPr>
      <w:tblGrid>
        <w:gridCol w:w="721"/>
        <w:gridCol w:w="874"/>
        <w:gridCol w:w="954"/>
        <w:gridCol w:w="874"/>
        <w:gridCol w:w="954"/>
        <w:gridCol w:w="874"/>
        <w:gridCol w:w="954"/>
        <w:gridCol w:w="874"/>
        <w:gridCol w:w="954"/>
        <w:gridCol w:w="750"/>
      </w:tblGrid>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BR"/>
              </w:rPr>
            </w:pPr>
          </w:p>
        </w:tc>
        <w:tc>
          <w:tcPr>
            <w:tcW w:w="1797" w:type="dxa"/>
            <w:gridSpan w:val="2"/>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 xml:space="preserve">CAPES - </w:t>
            </w:r>
            <w:r w:rsidR="003A1B87" w:rsidRPr="00C70D6B">
              <w:rPr>
                <w:b/>
                <w:sz w:val="20"/>
                <w:szCs w:val="20"/>
                <w:lang w:val="pt-BR"/>
              </w:rPr>
              <w:t>Demanda Social</w:t>
            </w:r>
          </w:p>
        </w:tc>
        <w:tc>
          <w:tcPr>
            <w:tcW w:w="1797" w:type="dxa"/>
            <w:gridSpan w:val="2"/>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Pr>
                <w:b/>
                <w:sz w:val="20"/>
                <w:szCs w:val="20"/>
                <w:lang w:val="pt-BR"/>
              </w:rPr>
              <w:t xml:space="preserve">CAPES - </w:t>
            </w:r>
            <w:r w:rsidR="003A1B87" w:rsidRPr="00C70D6B">
              <w:rPr>
                <w:b/>
                <w:sz w:val="20"/>
                <w:szCs w:val="20"/>
                <w:lang w:val="pt-BR"/>
              </w:rPr>
              <w:t>PROEX</w:t>
            </w:r>
          </w:p>
        </w:tc>
        <w:tc>
          <w:tcPr>
            <w:tcW w:w="1797" w:type="dxa"/>
            <w:gridSpan w:val="2"/>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C70D6B">
              <w:rPr>
                <w:b/>
                <w:sz w:val="20"/>
                <w:szCs w:val="20"/>
                <w:lang w:val="pt-BR"/>
              </w:rPr>
              <w:t>FAPEMIG</w:t>
            </w:r>
          </w:p>
        </w:tc>
        <w:tc>
          <w:tcPr>
            <w:tcW w:w="1797" w:type="dxa"/>
            <w:gridSpan w:val="2"/>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C70D6B">
              <w:rPr>
                <w:b/>
                <w:sz w:val="20"/>
                <w:szCs w:val="20"/>
                <w:lang w:val="pt-BR"/>
              </w:rPr>
              <w:t>CNPQ</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20"/>
                <w:szCs w:val="20"/>
                <w:lang w:val="pt-BR"/>
              </w:rPr>
            </w:pPr>
            <w:r w:rsidRPr="00C70D6B">
              <w:rPr>
                <w:b/>
                <w:sz w:val="20"/>
                <w:szCs w:val="20"/>
                <w:lang w:val="pt-BR"/>
              </w:rPr>
              <w:t>PNPD</w:t>
            </w:r>
          </w:p>
        </w:tc>
      </w:tr>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Ano</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Mestrado</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Doutorado</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Mestrado</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Doutorado</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Mestrado</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Doutorado</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Mestrado</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Doutorado</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sz w:val="16"/>
                <w:szCs w:val="16"/>
                <w:lang w:val="pt-BR"/>
              </w:rPr>
            </w:pPr>
            <w:r w:rsidRPr="00C70D6B">
              <w:rPr>
                <w:b/>
                <w:sz w:val="16"/>
                <w:szCs w:val="16"/>
                <w:lang w:val="pt-BR"/>
              </w:rPr>
              <w:t>Pós-</w:t>
            </w:r>
            <w:proofErr w:type="spellStart"/>
            <w:r w:rsidRPr="00C70D6B">
              <w:rPr>
                <w:b/>
                <w:sz w:val="16"/>
                <w:szCs w:val="16"/>
                <w:lang w:val="pt-BR"/>
              </w:rPr>
              <w:t>doc</w:t>
            </w:r>
            <w:proofErr w:type="spellEnd"/>
          </w:p>
        </w:tc>
      </w:tr>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2014</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679</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486</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440</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548</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255</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268</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514</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466</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68</w:t>
            </w:r>
          </w:p>
        </w:tc>
      </w:tr>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2015</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693</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698</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616</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891</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246</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231</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393</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487</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96</w:t>
            </w:r>
          </w:p>
        </w:tc>
      </w:tr>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2016</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549</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563</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597</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930</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246</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230</w:t>
            </w:r>
          </w:p>
        </w:tc>
        <w:tc>
          <w:tcPr>
            <w:tcW w:w="859" w:type="dxa"/>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Pr>
                <w:sz w:val="18"/>
                <w:szCs w:val="18"/>
                <w:lang w:val="pt-BR"/>
              </w:rPr>
              <w:t>(*)</w:t>
            </w:r>
          </w:p>
        </w:tc>
        <w:tc>
          <w:tcPr>
            <w:tcW w:w="938" w:type="dxa"/>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Pr>
                <w:sz w:val="18"/>
                <w:szCs w:val="18"/>
                <w:lang w:val="pt-BR"/>
              </w:rPr>
              <w:t>(*)</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143</w:t>
            </w:r>
          </w:p>
        </w:tc>
      </w:tr>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2017</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538</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612</w:t>
            </w:r>
          </w:p>
        </w:tc>
        <w:tc>
          <w:tcPr>
            <w:tcW w:w="859" w:type="dxa"/>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Pr>
                <w:sz w:val="18"/>
                <w:szCs w:val="18"/>
                <w:lang w:val="pt-BR"/>
              </w:rPr>
              <w:t>(*)</w:t>
            </w:r>
          </w:p>
        </w:tc>
        <w:tc>
          <w:tcPr>
            <w:tcW w:w="938" w:type="dxa"/>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Pr>
                <w:sz w:val="18"/>
                <w:szCs w:val="18"/>
                <w:lang w:val="pt-BR"/>
              </w:rPr>
              <w:t>(*)</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260</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245</w:t>
            </w:r>
          </w:p>
        </w:tc>
        <w:tc>
          <w:tcPr>
            <w:tcW w:w="859" w:type="dxa"/>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Pr>
                <w:sz w:val="18"/>
                <w:szCs w:val="18"/>
                <w:lang w:val="pt-BR"/>
              </w:rPr>
              <w:t>(*)</w:t>
            </w:r>
          </w:p>
        </w:tc>
        <w:tc>
          <w:tcPr>
            <w:tcW w:w="938" w:type="dxa"/>
          </w:tcPr>
          <w:p w:rsidR="003A1B87" w:rsidRPr="00C70D6B" w:rsidRDefault="00C70D6B"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Pr>
                <w:sz w:val="18"/>
                <w:szCs w:val="18"/>
                <w:lang w:val="pt-BR"/>
              </w:rPr>
              <w:t>(*)</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162</w:t>
            </w:r>
          </w:p>
        </w:tc>
      </w:tr>
      <w:tr w:rsidR="00C70D6B" w:rsidRPr="00C70D6B" w:rsidTr="003A1B87">
        <w:tc>
          <w:tcPr>
            <w:tcW w:w="857"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2018</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475</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528</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622</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1043</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260</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245</w:t>
            </w:r>
          </w:p>
        </w:tc>
        <w:tc>
          <w:tcPr>
            <w:tcW w:w="859"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376</w:t>
            </w:r>
          </w:p>
        </w:tc>
        <w:tc>
          <w:tcPr>
            <w:tcW w:w="9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480</w:t>
            </w:r>
          </w:p>
        </w:tc>
        <w:tc>
          <w:tcPr>
            <w:tcW w:w="738" w:type="dxa"/>
          </w:tcPr>
          <w:p w:rsidR="003A1B87" w:rsidRPr="00C70D6B" w:rsidRDefault="003A1B87" w:rsidP="00391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sz w:val="18"/>
                <w:szCs w:val="18"/>
                <w:lang w:val="pt-BR"/>
              </w:rPr>
            </w:pPr>
            <w:r w:rsidRPr="00C70D6B">
              <w:rPr>
                <w:sz w:val="18"/>
                <w:szCs w:val="18"/>
                <w:lang w:val="pt-BR"/>
              </w:rPr>
              <w:t>170</w:t>
            </w:r>
          </w:p>
        </w:tc>
      </w:tr>
    </w:tbl>
    <w:p w:rsidR="003A1B87" w:rsidRPr="00C70D6B" w:rsidRDefault="00C70D6B" w:rsidP="00552C18">
      <w:pPr>
        <w:spacing w:line="360" w:lineRule="auto"/>
        <w:jc w:val="both"/>
        <w:rPr>
          <w:sz w:val="20"/>
          <w:szCs w:val="20"/>
          <w:lang w:val="pt-BR"/>
        </w:rPr>
      </w:pPr>
      <w:r w:rsidRPr="00C70D6B">
        <w:rPr>
          <w:sz w:val="20"/>
          <w:szCs w:val="20"/>
          <w:lang w:val="pt-BR"/>
        </w:rPr>
        <w:t>(*) Dados não disponíveis.</w:t>
      </w:r>
    </w:p>
    <w:p w:rsidR="003A1B87" w:rsidRDefault="003A1B87" w:rsidP="00552C18">
      <w:pPr>
        <w:spacing w:line="360" w:lineRule="auto"/>
        <w:jc w:val="both"/>
        <w:rPr>
          <w:lang w:val="pt-BR"/>
        </w:rPr>
      </w:pPr>
    </w:p>
    <w:p w:rsidR="00D75EA6" w:rsidRDefault="008222E6" w:rsidP="00552C18">
      <w:pPr>
        <w:spacing w:line="360" w:lineRule="auto"/>
        <w:jc w:val="both"/>
        <w:rPr>
          <w:lang w:val="pt-BR"/>
        </w:rPr>
      </w:pPr>
      <w:r>
        <w:rPr>
          <w:lang w:val="pt-BR"/>
        </w:rPr>
        <w:tab/>
        <w:t>Os dados apresentados na Tabela V</w:t>
      </w:r>
      <w:r w:rsidR="00ED0AA4">
        <w:rPr>
          <w:lang w:val="pt-BR"/>
        </w:rPr>
        <w:t>I</w:t>
      </w:r>
      <w:r>
        <w:rPr>
          <w:lang w:val="pt-BR"/>
        </w:rPr>
        <w:t xml:space="preserve"> revelam uma relativa estabilidade</w:t>
      </w:r>
      <w:r w:rsidR="00683945">
        <w:rPr>
          <w:lang w:val="pt-BR"/>
        </w:rPr>
        <w:t xml:space="preserve"> do número de bolsas de mestrado e de doutorado fornecidas pela </w:t>
      </w:r>
      <w:proofErr w:type="spellStart"/>
      <w:r w:rsidR="00683945">
        <w:rPr>
          <w:lang w:val="pt-BR"/>
        </w:rPr>
        <w:t>Fapemig</w:t>
      </w:r>
      <w:proofErr w:type="spellEnd"/>
      <w:r w:rsidR="00683945">
        <w:rPr>
          <w:lang w:val="pt-BR"/>
        </w:rPr>
        <w:t xml:space="preserve"> e pelo CNPq</w:t>
      </w:r>
      <w:r>
        <w:rPr>
          <w:lang w:val="pt-BR"/>
        </w:rPr>
        <w:t xml:space="preserve"> no período considerado, com tendência de um pequeno declínio</w:t>
      </w:r>
      <w:r w:rsidR="00683945">
        <w:rPr>
          <w:lang w:val="pt-BR"/>
        </w:rPr>
        <w:t xml:space="preserve"> ao longo do tempo</w:t>
      </w:r>
      <w:r>
        <w:rPr>
          <w:lang w:val="pt-BR"/>
        </w:rPr>
        <w:t xml:space="preserve">. No caso de bolsas fornecidas pela CAPES, </w:t>
      </w:r>
      <w:r w:rsidR="00BA21A9">
        <w:rPr>
          <w:lang w:val="pt-BR"/>
        </w:rPr>
        <w:t>observa-se um aparente aumento de 2014 para 2015, seguido de uma relativa estabilidade a partir de então. Esse aumento é apenas aparente, sendo</w:t>
      </w:r>
      <w:r w:rsidR="00683945">
        <w:rPr>
          <w:lang w:val="pt-BR"/>
        </w:rPr>
        <w:t xml:space="preserve"> principalmente</w:t>
      </w:r>
      <w:r w:rsidR="00BA21A9">
        <w:rPr>
          <w:lang w:val="pt-BR"/>
        </w:rPr>
        <w:t xml:space="preserve"> decorrente da transformação d</w:t>
      </w:r>
      <w:r w:rsidR="00683945">
        <w:rPr>
          <w:lang w:val="pt-BR"/>
        </w:rPr>
        <w:t>as</w:t>
      </w:r>
      <w:r w:rsidR="00BA21A9">
        <w:rPr>
          <w:lang w:val="pt-BR"/>
        </w:rPr>
        <w:t xml:space="preserve"> bolsas que a UFMG havia obtido no âmbito do programa REUNI, de expansão das universidades federais, em 2009, </w:t>
      </w:r>
      <w:r w:rsidR="00683945">
        <w:rPr>
          <w:lang w:val="pt-BR"/>
        </w:rPr>
        <w:t>as quais</w:t>
      </w:r>
      <w:r w:rsidR="00BA21A9">
        <w:rPr>
          <w:lang w:val="pt-BR"/>
        </w:rPr>
        <w:t xml:space="preserve"> foram incorporadas pela CAPES aos programas usuais de bolsas</w:t>
      </w:r>
      <w:r w:rsidR="00683945">
        <w:rPr>
          <w:lang w:val="pt-BR"/>
        </w:rPr>
        <w:t xml:space="preserve"> a partir de 2015</w:t>
      </w:r>
      <w:r w:rsidR="00BA21A9">
        <w:rPr>
          <w:lang w:val="pt-BR"/>
        </w:rPr>
        <w:t>. Assim, o que de fato se observa, mesmo no número de bolsas concedidas pela CAPES, é uma tendência levemente declinante em sua oferta, ao longo do período observado.</w:t>
      </w:r>
    </w:p>
    <w:p w:rsidR="00683945" w:rsidRDefault="00683945" w:rsidP="00552C18">
      <w:pPr>
        <w:spacing w:line="360" w:lineRule="auto"/>
        <w:jc w:val="both"/>
        <w:rPr>
          <w:lang w:val="pt-BR"/>
        </w:rPr>
      </w:pPr>
      <w:r>
        <w:rPr>
          <w:lang w:val="pt-BR"/>
        </w:rPr>
        <w:tab/>
        <w:t xml:space="preserve">É importante observar, ainda, o crescente número de bolsas de pós-doutorado concedidas à UFMG. Embora, no total, o número dessas bolsas seja ainda pequeno em relação às demais, seu aumento relativo traduz um processo de amadurecimento dos programas de pós-graduação envolvidos, </w:t>
      </w:r>
      <w:r w:rsidR="00B86880">
        <w:rPr>
          <w:lang w:val="pt-BR"/>
        </w:rPr>
        <w:t xml:space="preserve">uma vez que a pesquisa associada a projetos de pós-doutorado tende a se associar a empreitadas científicas de maior fôlego. </w:t>
      </w:r>
    </w:p>
    <w:p w:rsidR="00B86880" w:rsidRDefault="00B86880" w:rsidP="00552C18">
      <w:pPr>
        <w:spacing w:line="360" w:lineRule="auto"/>
        <w:jc w:val="both"/>
        <w:rPr>
          <w:lang w:val="pt-BR"/>
        </w:rPr>
      </w:pPr>
    </w:p>
    <w:p w:rsidR="008222E6" w:rsidRPr="00FB63FA" w:rsidRDefault="008222E6" w:rsidP="00552C18">
      <w:pPr>
        <w:spacing w:line="360" w:lineRule="auto"/>
        <w:jc w:val="both"/>
        <w:rPr>
          <w:lang w:val="pt-BR"/>
        </w:rPr>
      </w:pPr>
    </w:p>
    <w:p w:rsidR="00552C18" w:rsidRPr="00FB63FA" w:rsidRDefault="00552C18" w:rsidP="00552C18">
      <w:pPr>
        <w:spacing w:line="360" w:lineRule="auto"/>
        <w:jc w:val="center"/>
        <w:outlineLvl w:val="0"/>
        <w:rPr>
          <w:b/>
          <w:lang w:val="pt-BR"/>
        </w:rPr>
      </w:pPr>
      <w:r w:rsidRPr="00FB63FA">
        <w:rPr>
          <w:b/>
          <w:lang w:val="pt-BR"/>
        </w:rPr>
        <w:t>OBJETIVO</w:t>
      </w:r>
    </w:p>
    <w:p w:rsidR="00552C18" w:rsidRPr="00EE19A4" w:rsidRDefault="00552C18" w:rsidP="00552C18">
      <w:pPr>
        <w:pStyle w:val="PargrafodaLista"/>
        <w:numPr>
          <w:ilvl w:val="0"/>
          <w:numId w:val="3"/>
        </w:numPr>
        <w:spacing w:line="360" w:lineRule="auto"/>
        <w:rPr>
          <w:lang w:val="pt-BR"/>
        </w:rPr>
      </w:pPr>
      <w:r w:rsidRPr="00EE19A4">
        <w:rPr>
          <w:lang w:val="pt-BR"/>
        </w:rPr>
        <w:t xml:space="preserve">Aprimorar a qualidade e a excelência da pós-graduação da UFMG, nas modalidades </w:t>
      </w:r>
      <w:r w:rsidRPr="00EF5AC2">
        <w:rPr>
          <w:i/>
          <w:lang w:val="pt-BR"/>
        </w:rPr>
        <w:t>stricto</w:t>
      </w:r>
      <w:r w:rsidRPr="00EE19A4">
        <w:rPr>
          <w:lang w:val="pt-BR"/>
        </w:rPr>
        <w:t xml:space="preserve"> e </w:t>
      </w:r>
      <w:r w:rsidRPr="00EF5AC2">
        <w:rPr>
          <w:i/>
          <w:lang w:val="pt-BR"/>
        </w:rPr>
        <w:t>lato sensu</w:t>
      </w:r>
      <w:r w:rsidRPr="00EE19A4">
        <w:rPr>
          <w:lang w:val="pt-BR"/>
        </w:rPr>
        <w:t xml:space="preserve">. </w:t>
      </w:r>
    </w:p>
    <w:p w:rsidR="00552C18" w:rsidRPr="00FB63FA" w:rsidRDefault="00552C18" w:rsidP="00552C18">
      <w:pPr>
        <w:spacing w:line="360" w:lineRule="auto"/>
        <w:jc w:val="both"/>
        <w:rPr>
          <w:lang w:val="pt-BR"/>
        </w:rPr>
      </w:pPr>
    </w:p>
    <w:p w:rsidR="00552C18" w:rsidRPr="00FB63FA" w:rsidRDefault="00552C18" w:rsidP="00552C18">
      <w:pPr>
        <w:spacing w:line="360" w:lineRule="auto"/>
        <w:jc w:val="center"/>
        <w:outlineLvl w:val="0"/>
        <w:rPr>
          <w:b/>
          <w:lang w:val="pt-BR"/>
        </w:rPr>
      </w:pPr>
      <w:r w:rsidRPr="00FB63FA">
        <w:rPr>
          <w:b/>
          <w:lang w:val="pt-BR"/>
        </w:rPr>
        <w:t>OBJETIVOS ESPECÍFICOS</w:t>
      </w:r>
    </w:p>
    <w:p w:rsidR="00552C18" w:rsidRPr="00EE19A4" w:rsidRDefault="00552C18" w:rsidP="00552C18">
      <w:pPr>
        <w:pStyle w:val="PargrafodaLista"/>
        <w:numPr>
          <w:ilvl w:val="0"/>
          <w:numId w:val="3"/>
        </w:numPr>
        <w:spacing w:line="360" w:lineRule="auto"/>
        <w:rPr>
          <w:lang w:val="pt-BR"/>
        </w:rPr>
      </w:pPr>
      <w:r w:rsidRPr="00EE19A4">
        <w:rPr>
          <w:lang w:val="pt-BR"/>
        </w:rPr>
        <w:t>Melhorar os indicadores de inserção internacional dos programas de pós-graduação da UFMG.</w:t>
      </w:r>
    </w:p>
    <w:p w:rsidR="00552C18" w:rsidRPr="00EE19A4" w:rsidRDefault="00552C18" w:rsidP="00552C18">
      <w:pPr>
        <w:pStyle w:val="PargrafodaLista"/>
        <w:numPr>
          <w:ilvl w:val="0"/>
          <w:numId w:val="3"/>
        </w:numPr>
        <w:spacing w:line="360" w:lineRule="auto"/>
        <w:rPr>
          <w:lang w:val="pt-BR"/>
        </w:rPr>
      </w:pPr>
      <w:r w:rsidRPr="00EE19A4">
        <w:rPr>
          <w:lang w:val="pt-BR"/>
        </w:rPr>
        <w:t>Estimular o estágio pós-doutoral de docentes no exterior, visando parcerias que fortaleçam a cooperação internacional, seja pela realização de projetos interinstitucionais, seja pelos programas de mobilidade acadêmica docente e discente.</w:t>
      </w:r>
    </w:p>
    <w:p w:rsidR="00552C18" w:rsidRPr="00EE19A4" w:rsidRDefault="00552C18" w:rsidP="00552C18">
      <w:pPr>
        <w:pStyle w:val="PargrafodaLista"/>
        <w:numPr>
          <w:ilvl w:val="0"/>
          <w:numId w:val="3"/>
        </w:numPr>
        <w:spacing w:line="360" w:lineRule="auto"/>
        <w:rPr>
          <w:lang w:val="pt-BR"/>
        </w:rPr>
      </w:pPr>
      <w:r w:rsidRPr="00EE19A4">
        <w:rPr>
          <w:lang w:val="pt-BR"/>
        </w:rPr>
        <w:t>Estimular a produção intelectual qualificada do conjunto do corpo docente da UFMG, de forma a ampliar a proporção de docentes credenciados como orientadores em programas de pós-graduação.</w:t>
      </w:r>
    </w:p>
    <w:p w:rsidR="00552C18" w:rsidRPr="004B74E6" w:rsidRDefault="00C6172C" w:rsidP="00552C18">
      <w:pPr>
        <w:pStyle w:val="PargrafodaLista"/>
        <w:numPr>
          <w:ilvl w:val="0"/>
          <w:numId w:val="3"/>
        </w:numPr>
        <w:spacing w:line="360" w:lineRule="auto"/>
        <w:rPr>
          <w:lang w:val="pt-BR"/>
        </w:rPr>
      </w:pPr>
      <w:r>
        <w:rPr>
          <w:lang w:val="pt-BR"/>
        </w:rPr>
        <w:t>Incentivar a consolidação acadêmico-científica dos grupos de pesquisa emergentes</w:t>
      </w:r>
      <w:bookmarkStart w:id="0" w:name="_GoBack"/>
      <w:bookmarkEnd w:id="0"/>
      <w:r w:rsidR="00552C18" w:rsidRPr="004B74E6">
        <w:rPr>
          <w:lang w:val="pt-BR"/>
        </w:rPr>
        <w:t xml:space="preserve"> </w:t>
      </w:r>
      <w:r>
        <w:rPr>
          <w:lang w:val="pt-BR"/>
        </w:rPr>
        <w:t>de forma a viabilizar</w:t>
      </w:r>
      <w:r w:rsidR="00552C18" w:rsidRPr="004B74E6">
        <w:rPr>
          <w:lang w:val="pt-BR"/>
        </w:rPr>
        <w:t xml:space="preserve"> o estabelecimento de pós-graduações </w:t>
      </w:r>
      <w:r w:rsidR="00552C18" w:rsidRPr="004B74E6">
        <w:rPr>
          <w:i/>
          <w:lang w:val="pt-BR"/>
        </w:rPr>
        <w:t>stricto sensu</w:t>
      </w:r>
      <w:r w:rsidR="00552C18" w:rsidRPr="004B74E6">
        <w:rPr>
          <w:lang w:val="pt-BR"/>
        </w:rPr>
        <w:t>, incluindo os níveis de mestrado e de doutorado, que abranjam a totalidade das áreas de conhecimento abrigadas na UFMG.</w:t>
      </w:r>
    </w:p>
    <w:p w:rsidR="00552C18" w:rsidRPr="00EE19A4" w:rsidRDefault="00552C18" w:rsidP="00552C18">
      <w:pPr>
        <w:pStyle w:val="PargrafodaLista"/>
        <w:numPr>
          <w:ilvl w:val="0"/>
          <w:numId w:val="3"/>
        </w:numPr>
        <w:spacing w:line="360" w:lineRule="auto"/>
        <w:rPr>
          <w:lang w:val="pt-BR"/>
        </w:rPr>
      </w:pPr>
      <w:r w:rsidRPr="00EE19A4">
        <w:rPr>
          <w:lang w:val="pt-BR"/>
        </w:rPr>
        <w:t>Adotar medidas que resultem na expansão das matrículas na pós-graduação.</w:t>
      </w:r>
    </w:p>
    <w:p w:rsidR="00552C18" w:rsidRDefault="00552C18" w:rsidP="00552C18">
      <w:pPr>
        <w:pStyle w:val="PargrafodaLista"/>
        <w:numPr>
          <w:ilvl w:val="0"/>
          <w:numId w:val="3"/>
        </w:numPr>
        <w:spacing w:line="360" w:lineRule="auto"/>
        <w:rPr>
          <w:lang w:val="pt-BR"/>
        </w:rPr>
      </w:pPr>
      <w:r w:rsidRPr="00EE19A4">
        <w:rPr>
          <w:lang w:val="pt-BR"/>
        </w:rPr>
        <w:t xml:space="preserve">Ampliar a integração dos programas de pós-graduação </w:t>
      </w:r>
      <w:r w:rsidRPr="00EE19A4">
        <w:rPr>
          <w:i/>
          <w:lang w:val="pt-BR"/>
        </w:rPr>
        <w:t>stricto sensu</w:t>
      </w:r>
      <w:r w:rsidRPr="00EE19A4">
        <w:rPr>
          <w:lang w:val="pt-BR"/>
        </w:rPr>
        <w:t xml:space="preserve"> com os cursos de graduação, inclusive incentivando que uma maior proporção de estudantes de graduação inicie estudos na pós-graduação ainda antes do término da graduação. </w:t>
      </w:r>
    </w:p>
    <w:p w:rsidR="00257214" w:rsidRPr="00257214" w:rsidRDefault="00257214" w:rsidP="00257214">
      <w:pPr>
        <w:pStyle w:val="PargrafodaLista"/>
        <w:numPr>
          <w:ilvl w:val="0"/>
          <w:numId w:val="3"/>
        </w:numPr>
        <w:spacing w:line="360" w:lineRule="auto"/>
        <w:rPr>
          <w:lang w:val="pt-BR"/>
        </w:rPr>
      </w:pPr>
      <w:r>
        <w:rPr>
          <w:lang w:val="pt-BR"/>
        </w:rPr>
        <w:t xml:space="preserve">Promover </w:t>
      </w:r>
      <w:r w:rsidRPr="00257214">
        <w:rPr>
          <w:lang w:val="pt-BR"/>
        </w:rPr>
        <w:t xml:space="preserve">maior articulação entre o ensino de graduação </w:t>
      </w:r>
      <w:r>
        <w:rPr>
          <w:lang w:val="pt-BR"/>
        </w:rPr>
        <w:t xml:space="preserve">e o de pós-graduação, </w:t>
      </w:r>
      <w:r w:rsidRPr="00257214">
        <w:rPr>
          <w:lang w:val="pt-BR"/>
        </w:rPr>
        <w:t xml:space="preserve">pela realização integrada de atividades de pesquisa e de extensão. Especial atenção deve ser dada aos programas de estágio-docência, em que estudantes de pós-graduação participam da preparação, organização e realização de atividades acadêmicas curriculares para a graduação, sob a supervisão de docente. </w:t>
      </w:r>
    </w:p>
    <w:p w:rsidR="00552C18" w:rsidRPr="00EE19A4" w:rsidRDefault="00552C18" w:rsidP="00552C18">
      <w:pPr>
        <w:pStyle w:val="PargrafodaLista"/>
        <w:numPr>
          <w:ilvl w:val="0"/>
          <w:numId w:val="3"/>
        </w:numPr>
        <w:spacing w:line="360" w:lineRule="auto"/>
        <w:rPr>
          <w:lang w:val="pt-BR"/>
        </w:rPr>
      </w:pPr>
      <w:r w:rsidRPr="00EE19A4">
        <w:rPr>
          <w:lang w:val="pt-BR"/>
        </w:rPr>
        <w:t>Assegurar que maior proporção de alunos da Pós-Graduação da UFMG seja contemplada com bolsas, tanto pelo aumento das cotas estabelecidas pelas agências de fomento, quanto por meio de dotações orçamentárias da UFMG.</w:t>
      </w:r>
    </w:p>
    <w:p w:rsidR="007348BA" w:rsidRPr="007348BA" w:rsidRDefault="007348BA" w:rsidP="007348BA">
      <w:pPr>
        <w:pStyle w:val="PargrafodaLista"/>
        <w:numPr>
          <w:ilvl w:val="0"/>
          <w:numId w:val="3"/>
        </w:numPr>
        <w:spacing w:line="360" w:lineRule="auto"/>
        <w:rPr>
          <w:lang w:val="pt-BR"/>
        </w:rPr>
      </w:pPr>
      <w:r>
        <w:rPr>
          <w:lang w:val="pt-BR"/>
        </w:rPr>
        <w:t xml:space="preserve">Intensificar </w:t>
      </w:r>
      <w:r w:rsidRPr="007348BA">
        <w:rPr>
          <w:lang w:val="pt-BR"/>
        </w:rPr>
        <w:t>os p</w:t>
      </w:r>
      <w:r>
        <w:rPr>
          <w:lang w:val="pt-BR"/>
        </w:rPr>
        <w:t>rogramas de mobilidade acadêmica</w:t>
      </w:r>
      <w:r w:rsidRPr="007348BA">
        <w:rPr>
          <w:lang w:val="pt-BR"/>
        </w:rPr>
        <w:t xml:space="preserve"> na pós-graduação, com especial atenção para aqueles </w:t>
      </w:r>
      <w:r>
        <w:rPr>
          <w:lang w:val="pt-BR"/>
        </w:rPr>
        <w:t xml:space="preserve">programas </w:t>
      </w:r>
      <w:r w:rsidRPr="007348BA">
        <w:rPr>
          <w:lang w:val="pt-BR"/>
        </w:rPr>
        <w:t>que se orientem pelo princípio da reciprocidade.</w:t>
      </w:r>
    </w:p>
    <w:p w:rsidR="00552C18" w:rsidRPr="00EE19A4" w:rsidRDefault="00552C18" w:rsidP="00552C18">
      <w:pPr>
        <w:pStyle w:val="PargrafodaLista"/>
        <w:numPr>
          <w:ilvl w:val="0"/>
          <w:numId w:val="3"/>
        </w:numPr>
        <w:spacing w:line="360" w:lineRule="auto"/>
        <w:rPr>
          <w:lang w:val="pt-BR"/>
        </w:rPr>
      </w:pPr>
      <w:r w:rsidRPr="00EE19A4">
        <w:rPr>
          <w:lang w:val="pt-BR"/>
        </w:rPr>
        <w:lastRenderedPageBreak/>
        <w:t>Adotar as medidas necessárias para estimular a admissão, na pós-graduação, de alunos provenientes de outros países, de modo a garantir uma maior proporção desses estudantes no alunado da pós-graduação da UFMG.</w:t>
      </w:r>
      <w:r w:rsidR="007348BA">
        <w:rPr>
          <w:lang w:val="pt-BR"/>
        </w:rPr>
        <w:t xml:space="preserve"> Em e</w:t>
      </w:r>
      <w:r w:rsidR="007348BA" w:rsidRPr="007348BA">
        <w:rPr>
          <w:lang w:val="pt-BR"/>
        </w:rPr>
        <w:t>special</w:t>
      </w:r>
      <w:r w:rsidR="007348BA">
        <w:rPr>
          <w:lang w:val="pt-BR"/>
        </w:rPr>
        <w:t>, deve ser fortalecida a presença de estudantes</w:t>
      </w:r>
      <w:r w:rsidR="007348BA" w:rsidRPr="007348BA">
        <w:rPr>
          <w:lang w:val="pt-BR"/>
        </w:rPr>
        <w:t xml:space="preserve"> oriundos da América do Sul e da África Portuguesa.</w:t>
      </w:r>
    </w:p>
    <w:p w:rsidR="00552C18" w:rsidRPr="007348BA" w:rsidRDefault="007348BA" w:rsidP="007348BA">
      <w:pPr>
        <w:pStyle w:val="PargrafodaLista"/>
        <w:numPr>
          <w:ilvl w:val="0"/>
          <w:numId w:val="3"/>
        </w:numPr>
        <w:spacing w:line="360" w:lineRule="auto"/>
        <w:rPr>
          <w:lang w:val="pt-BR"/>
        </w:rPr>
      </w:pPr>
      <w:r>
        <w:rPr>
          <w:lang w:val="pt-BR"/>
        </w:rPr>
        <w:t xml:space="preserve">Envidar </w:t>
      </w:r>
      <w:r w:rsidRPr="007348BA">
        <w:rPr>
          <w:lang w:val="pt-BR"/>
        </w:rPr>
        <w:t>esforços para intensificar a diversidade sociocultural do corpo discente, em conexão com a ampliação do acesso para grupos historicamente ex</w:t>
      </w:r>
      <w:r>
        <w:rPr>
          <w:lang w:val="pt-BR"/>
        </w:rPr>
        <w:t>cluídos do ensino superior, com</w:t>
      </w:r>
      <w:r w:rsidRPr="007348BA">
        <w:rPr>
          <w:lang w:val="pt-BR"/>
        </w:rPr>
        <w:t xml:space="preserve"> especial atenção às pessoas com deficiências, aos indígenas, aos negros e aos refugiados.</w:t>
      </w:r>
      <w:r>
        <w:rPr>
          <w:lang w:val="pt-BR"/>
        </w:rPr>
        <w:t xml:space="preserve"> </w:t>
      </w:r>
      <w:r w:rsidRPr="00EE19A4">
        <w:rPr>
          <w:lang w:val="pt-BR"/>
        </w:rPr>
        <w:t xml:space="preserve">Acompanhar as ações afirmativas introduzidas na Pós-Graduação </w:t>
      </w:r>
      <w:r w:rsidRPr="00EF5AC2">
        <w:rPr>
          <w:i/>
          <w:lang w:val="pt-BR"/>
        </w:rPr>
        <w:t>stricto sensu</w:t>
      </w:r>
      <w:r w:rsidRPr="00EE19A4">
        <w:rPr>
          <w:lang w:val="pt-BR"/>
        </w:rPr>
        <w:t>, garant</w:t>
      </w:r>
      <w:r>
        <w:rPr>
          <w:lang w:val="pt-BR"/>
        </w:rPr>
        <w:t>indo sua efetiva implementação.</w:t>
      </w:r>
    </w:p>
    <w:p w:rsidR="00552C18" w:rsidRPr="00EE19A4" w:rsidRDefault="00552C18" w:rsidP="00552C18">
      <w:pPr>
        <w:pStyle w:val="PargrafodaLista"/>
        <w:numPr>
          <w:ilvl w:val="0"/>
          <w:numId w:val="3"/>
        </w:numPr>
        <w:spacing w:line="360" w:lineRule="auto"/>
        <w:rPr>
          <w:lang w:val="pt-BR"/>
        </w:rPr>
      </w:pPr>
      <w:r w:rsidRPr="00EE19A4">
        <w:rPr>
          <w:lang w:val="pt-BR"/>
        </w:rPr>
        <w:t xml:space="preserve">Incrementar o número de docentes/pesquisadores estrangeiros visitantes participando de atividades nos cursos de Pós-Graduação </w:t>
      </w:r>
      <w:r w:rsidRPr="00EE19A4">
        <w:rPr>
          <w:i/>
          <w:lang w:val="pt-BR"/>
        </w:rPr>
        <w:t>stricto sensu</w:t>
      </w:r>
      <w:r w:rsidRPr="00EE19A4">
        <w:rPr>
          <w:lang w:val="pt-BR"/>
        </w:rPr>
        <w:t>.</w:t>
      </w:r>
    </w:p>
    <w:p w:rsidR="00552C18" w:rsidRPr="00EE19A4" w:rsidRDefault="00552C18" w:rsidP="00552C18">
      <w:pPr>
        <w:pStyle w:val="PargrafodaLista"/>
        <w:numPr>
          <w:ilvl w:val="0"/>
          <w:numId w:val="3"/>
        </w:numPr>
        <w:spacing w:line="360" w:lineRule="auto"/>
        <w:rPr>
          <w:lang w:val="pt-BR"/>
        </w:rPr>
      </w:pPr>
      <w:r w:rsidRPr="00EE19A4">
        <w:rPr>
          <w:lang w:val="pt-BR"/>
        </w:rPr>
        <w:t>Ofertar, com periodicidade adequada, os cursos de Especialização que: apresentam demanda relevante; demonstrem potencial para gerar impacto social e revelem indicadores positivos de qualidade.</w:t>
      </w:r>
    </w:p>
    <w:p w:rsidR="007348BA" w:rsidRPr="007348BA" w:rsidRDefault="00552C18" w:rsidP="007348BA">
      <w:pPr>
        <w:pStyle w:val="PargrafodaLista"/>
        <w:numPr>
          <w:ilvl w:val="0"/>
          <w:numId w:val="3"/>
        </w:numPr>
        <w:spacing w:line="360" w:lineRule="auto"/>
        <w:rPr>
          <w:lang w:val="pt-BR"/>
        </w:rPr>
      </w:pPr>
      <w:r w:rsidRPr="00EE19A4">
        <w:rPr>
          <w:lang w:val="pt-BR"/>
        </w:rPr>
        <w:t xml:space="preserve">Realizar uma avaliação institucional dos cursos de pós-graduação </w:t>
      </w:r>
      <w:r w:rsidRPr="00EE19A4">
        <w:rPr>
          <w:i/>
          <w:lang w:val="pt-BR"/>
        </w:rPr>
        <w:t>stricto sensu</w:t>
      </w:r>
      <w:r w:rsidRPr="00EE19A4">
        <w:rPr>
          <w:lang w:val="pt-BR"/>
        </w:rPr>
        <w:t xml:space="preserve"> e </w:t>
      </w:r>
      <w:r w:rsidRPr="00EE19A4">
        <w:rPr>
          <w:i/>
          <w:lang w:val="pt-BR"/>
        </w:rPr>
        <w:t>lato sensu.</w:t>
      </w:r>
    </w:p>
    <w:p w:rsidR="007348BA" w:rsidRPr="007348BA" w:rsidRDefault="009C4E2B" w:rsidP="007348BA">
      <w:pPr>
        <w:pStyle w:val="PargrafodaLista"/>
        <w:numPr>
          <w:ilvl w:val="0"/>
          <w:numId w:val="3"/>
        </w:numPr>
        <w:spacing w:line="360" w:lineRule="auto"/>
        <w:rPr>
          <w:lang w:val="pt-BR"/>
        </w:rPr>
      </w:pPr>
      <w:r>
        <w:rPr>
          <w:lang w:val="pt-BR"/>
        </w:rPr>
        <w:t xml:space="preserve">Consolidar </w:t>
      </w:r>
      <w:r w:rsidR="007348BA" w:rsidRPr="007348BA">
        <w:rPr>
          <w:lang w:val="pt-BR"/>
        </w:rPr>
        <w:t>a infraestrutura disponível para o funci</w:t>
      </w:r>
      <w:r w:rsidR="007348BA">
        <w:rPr>
          <w:lang w:val="pt-BR"/>
        </w:rPr>
        <w:t>onamento dos cursos</w:t>
      </w:r>
      <w:r w:rsidR="007348BA" w:rsidRPr="007348BA">
        <w:rPr>
          <w:lang w:val="pt-BR"/>
        </w:rPr>
        <w:t xml:space="preserve"> de pós-graduação, garantindo a disponibilidade de espaços de aprendizado devidamente</w:t>
      </w:r>
      <w:r w:rsidR="007348BA">
        <w:rPr>
          <w:lang w:val="pt-BR"/>
        </w:rPr>
        <w:t xml:space="preserve"> equipados, com especial atenção na preparação de condições para o atendimento a pessoas com deficiência.</w:t>
      </w:r>
    </w:p>
    <w:p w:rsidR="001C347C" w:rsidRPr="00552C18" w:rsidRDefault="001C347C">
      <w:pPr>
        <w:rPr>
          <w:lang w:val="pt-BR"/>
        </w:rPr>
      </w:pPr>
    </w:p>
    <w:sectPr w:rsidR="001C347C" w:rsidRPr="00552C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32A"/>
    <w:multiLevelType w:val="hybridMultilevel"/>
    <w:tmpl w:val="541051D6"/>
    <w:lvl w:ilvl="0" w:tplc="23A033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C5027"/>
    <w:multiLevelType w:val="hybridMultilevel"/>
    <w:tmpl w:val="B210ABF0"/>
    <w:lvl w:ilvl="0" w:tplc="04160011">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15:restartNumberingAfterBreak="0">
    <w:nsid w:val="69F062FA"/>
    <w:multiLevelType w:val="hybridMultilevel"/>
    <w:tmpl w:val="E38C231A"/>
    <w:lvl w:ilvl="0" w:tplc="59CA1C02">
      <w:start w:val="1"/>
      <w:numFmt w:val="decimal"/>
      <w:lvlText w:val="%1)"/>
      <w:lvlJc w:val="left"/>
      <w:pPr>
        <w:ind w:left="1068" w:hanging="360"/>
      </w:pPr>
      <w:rPr>
        <w:rFonts w:cstheme="minorBidi"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18"/>
    <w:rsid w:val="00041422"/>
    <w:rsid w:val="000A76DA"/>
    <w:rsid w:val="000E6173"/>
    <w:rsid w:val="0018623E"/>
    <w:rsid w:val="001C347C"/>
    <w:rsid w:val="00257214"/>
    <w:rsid w:val="002B7516"/>
    <w:rsid w:val="003A1B87"/>
    <w:rsid w:val="004B338A"/>
    <w:rsid w:val="004B74E6"/>
    <w:rsid w:val="004D504A"/>
    <w:rsid w:val="00501297"/>
    <w:rsid w:val="00552C18"/>
    <w:rsid w:val="00683945"/>
    <w:rsid w:val="006E1DF0"/>
    <w:rsid w:val="007161D1"/>
    <w:rsid w:val="007348BA"/>
    <w:rsid w:val="00785F34"/>
    <w:rsid w:val="00815591"/>
    <w:rsid w:val="008222E6"/>
    <w:rsid w:val="00825793"/>
    <w:rsid w:val="00876297"/>
    <w:rsid w:val="00886394"/>
    <w:rsid w:val="00894864"/>
    <w:rsid w:val="00947F0E"/>
    <w:rsid w:val="0095454F"/>
    <w:rsid w:val="009C4E2B"/>
    <w:rsid w:val="00A03F4D"/>
    <w:rsid w:val="00A4044A"/>
    <w:rsid w:val="00AD5E2F"/>
    <w:rsid w:val="00AF65FA"/>
    <w:rsid w:val="00B32743"/>
    <w:rsid w:val="00B55778"/>
    <w:rsid w:val="00B81985"/>
    <w:rsid w:val="00B86880"/>
    <w:rsid w:val="00B873F5"/>
    <w:rsid w:val="00BA21A9"/>
    <w:rsid w:val="00C0716F"/>
    <w:rsid w:val="00C6172C"/>
    <w:rsid w:val="00C70D6B"/>
    <w:rsid w:val="00C74D49"/>
    <w:rsid w:val="00D26111"/>
    <w:rsid w:val="00D55198"/>
    <w:rsid w:val="00D71B02"/>
    <w:rsid w:val="00D75EA6"/>
    <w:rsid w:val="00D94EE6"/>
    <w:rsid w:val="00EC475D"/>
    <w:rsid w:val="00ED0AA4"/>
    <w:rsid w:val="00EF5AC2"/>
    <w:rsid w:val="00F53F88"/>
    <w:rsid w:val="00FF7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DAC3"/>
  <w15:chartTrackingRefBased/>
  <w15:docId w15:val="{28930D95-0DDE-4D19-BC88-E6B9FD73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552C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qFormat/>
    <w:rsid w:val="00552C18"/>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pt-PT" w:eastAsia="pt-BR"/>
    </w:rPr>
  </w:style>
  <w:style w:type="paragraph" w:styleId="NormalWeb">
    <w:name w:val="Normal (Web)"/>
    <w:basedOn w:val="Normal"/>
    <w:uiPriority w:val="99"/>
    <w:unhideWhenUsed/>
    <w:rsid w:val="00552C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552C18"/>
    <w:rPr>
      <w:b/>
      <w:bCs/>
    </w:rPr>
  </w:style>
  <w:style w:type="table" w:styleId="Tabelacomgrade">
    <w:name w:val="Table Grid"/>
    <w:basedOn w:val="Tabelanormal"/>
    <w:uiPriority w:val="39"/>
    <w:rsid w:val="0078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12</Pages>
  <Words>3836</Words>
  <Characters>21868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Takahashi</dc:creator>
  <cp:keywords/>
  <dc:description/>
  <cp:lastModifiedBy>Ricardo Takahashi</cp:lastModifiedBy>
  <cp:revision>30</cp:revision>
  <dcterms:created xsi:type="dcterms:W3CDTF">2018-06-26T22:08:00Z</dcterms:created>
  <dcterms:modified xsi:type="dcterms:W3CDTF">2018-08-03T03:28:00Z</dcterms:modified>
</cp:coreProperties>
</file>