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b/>
          <w:bCs/>
        </w:rPr>
        <w:t>UNIVERSIDADE FEDERAL DE MINAS GERAIS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b/>
          <w:bCs/>
        </w:rPr>
        <w:t>DGI – DIRETORIA DE GOVERNANÇA INFORMACIONAL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>
          <w:b/>
          <w:bCs/>
        </w:rPr>
        <w:t>EDITAL DE SELEÇÃO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jc w:val="both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</w:rPr>
        <w:t xml:space="preserve">A Diretoria de Governança Informacional da Universidade Federal de Minas Gerais torna público que, </w:t>
      </w:r>
      <w:r>
        <w:rPr>
          <w:b/>
          <w:bCs/>
          <w:sz w:val="22"/>
          <w:szCs w:val="22"/>
        </w:rPr>
        <w:t>no período de 21 de julho a 08 de agosto de 2014,</w:t>
      </w:r>
      <w:r>
        <w:rPr>
          <w:sz w:val="22"/>
          <w:szCs w:val="22"/>
        </w:rPr>
        <w:t xml:space="preserve"> será realizado o processo de seleção de bolsistas do PBEXT-2014/PROEX para atuação na Diretoria de Governança Informacional.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b/>
          <w:bCs/>
          <w:sz w:val="22"/>
          <w:szCs w:val="22"/>
        </w:rPr>
        <w:t>1) DOS REQUISITOS BÁSICOS PARA PARTICIPAR DA SELEÇÃO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/>
      </w:r>
    </w:p>
    <w:p>
      <w:pPr>
        <w:pStyle w:val="style0"/>
        <w:numPr>
          <w:ilvl w:val="0"/>
          <w:numId w:val="1"/>
        </w:numPr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720" w:val="left"/>
        </w:tabs>
        <w:spacing w:line="360" w:lineRule="auto"/>
        <w:jc w:val="both"/>
      </w:pPr>
      <w:r>
        <w:rPr>
          <w:sz w:val="22"/>
          <w:szCs w:val="22"/>
        </w:rPr>
        <w:t>Aluno regularmente matriculado na UFMG;</w:t>
      </w:r>
    </w:p>
    <w:p>
      <w:pPr>
        <w:pStyle w:val="style0"/>
        <w:numPr>
          <w:ilvl w:val="0"/>
          <w:numId w:val="1"/>
        </w:numPr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720" w:val="left"/>
        </w:tabs>
        <w:spacing w:line="360" w:lineRule="auto"/>
        <w:jc w:val="both"/>
      </w:pPr>
      <w:r>
        <w:rPr>
          <w:sz w:val="22"/>
          <w:szCs w:val="22"/>
        </w:rPr>
        <w:t>Disponibilidade para cumprir 20 horas semanais;</w:t>
      </w:r>
    </w:p>
    <w:p>
      <w:pPr>
        <w:pStyle w:val="style0"/>
        <w:numPr>
          <w:ilvl w:val="0"/>
          <w:numId w:val="1"/>
        </w:numPr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720" w:val="left"/>
        </w:tabs>
        <w:spacing w:line="360" w:lineRule="auto"/>
        <w:jc w:val="both"/>
      </w:pPr>
      <w:r>
        <w:rPr>
          <w:sz w:val="22"/>
          <w:szCs w:val="22"/>
        </w:rPr>
        <w:t>Não receber outro tipo de bolsa acadêmica e/ou financiada por instituição ligada à Universidade Federal de Minas Gerais.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3600" w:val="left"/>
        </w:tabs>
        <w:spacing w:line="360" w:lineRule="auto"/>
        <w:ind w:hanging="0" w:left="720" w:right="0"/>
        <w:jc w:val="both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</w:pPr>
      <w:r>
        <w:rPr>
          <w:b/>
          <w:bCs/>
          <w:sz w:val="22"/>
          <w:szCs w:val="22"/>
        </w:rPr>
        <w:t>2) DO LOCAL DE TRABALHO E DAS VAGAS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</w:pPr>
      <w:r>
        <w:rPr>
          <w:sz w:val="22"/>
          <w:szCs w:val="22"/>
        </w:rPr>
        <w:t xml:space="preserve">Diretoria de Governança Informacional - </w:t>
      </w:r>
      <w:r>
        <w:rPr>
          <w:b/>
          <w:sz w:val="22"/>
          <w:szCs w:val="22"/>
        </w:rPr>
        <w:t>02 vagas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  <w:u w:val="single"/>
        </w:rPr>
        <w:t>Poderão inscrever-se: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</w:rPr>
        <w:t xml:space="preserve">Alunos regularmente matriculados (a partir do 2º período) nos cursos de </w:t>
      </w:r>
      <w:r>
        <w:rPr>
          <w:b/>
          <w:bCs/>
          <w:sz w:val="22"/>
          <w:szCs w:val="22"/>
        </w:rPr>
        <w:t>Arquivologia, Artes Visuais, Biblioteconomia, Cinema de Animação, Comunicação Social, Gestão Pública, Letras, Sistemas de Informação e Museologia</w:t>
      </w:r>
      <w:r>
        <w:rPr>
          <w:sz w:val="22"/>
          <w:szCs w:val="22"/>
        </w:rPr>
        <w:t xml:space="preserve"> da UFMG.</w:t>
      </w:r>
      <w:r>
        <w:rPr>
          <w:rFonts w:cs="Times New Roman"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Disponibilidade para cumprir 20 horas semanais podendo ser no turno da manhã (8h às 12h) ou no turno da tarde (13h às 17h);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hd w:fill="auto" w:val="clear"/>
        <w:spacing w:line="360" w:lineRule="auto"/>
        <w:jc w:val="both"/>
      </w:pPr>
      <w:r>
        <w:rPr>
          <w:color w:val="000000"/>
          <w:sz w:val="22"/>
          <w:szCs w:val="22"/>
          <w:u w:val="single"/>
          <w:shd w:fill="FFFFFF" w:val="clear"/>
        </w:rPr>
        <w:t>Atuação:</w:t>
      </w:r>
      <w:r>
        <w:rPr>
          <w:color w:val="000000"/>
          <w:sz w:val="22"/>
          <w:szCs w:val="22"/>
          <w:shd w:fill="FFFFFF" w:val="clear"/>
        </w:rPr>
        <w:t xml:space="preserve"> Colaboratório Digital UFMG (</w:t>
      </w:r>
      <w:hyperlink r:id="rId2">
        <w:r>
          <w:rPr>
            <w:rStyle w:val="style41"/>
            <w:color w:val="000000"/>
            <w:sz w:val="22"/>
            <w:szCs w:val="22"/>
            <w:shd w:fill="FFFFFF" w:val="clear"/>
          </w:rPr>
          <w:t>www.ufmg.br/colaboratorio</w:t>
        </w:r>
      </w:hyperlink>
      <w:r>
        <w:rPr>
          <w:color w:val="000000"/>
          <w:sz w:val="22"/>
          <w:szCs w:val="22"/>
          <w:shd w:fill="FFFFFF" w:val="clear"/>
        </w:rPr>
        <w:t xml:space="preserve">) </w:t>
      </w:r>
      <w:r>
        <w:rPr>
          <w:color w:val="000000"/>
          <w:sz w:val="22"/>
          <w:szCs w:val="22"/>
          <w:shd w:fill="FFFFFF" w:val="clear"/>
        </w:rPr>
        <w:t>e</w:t>
      </w:r>
      <w:r>
        <w:rPr>
          <w:color w:val="000000"/>
          <w:sz w:val="22"/>
          <w:szCs w:val="22"/>
          <w:shd w:fill="FFFFFF" w:val="clear"/>
        </w:rPr>
        <w:t xml:space="preserve"> </w:t>
      </w:r>
      <w:r>
        <w:rPr>
          <w:color w:val="000000"/>
          <w:sz w:val="22"/>
          <w:szCs w:val="22"/>
          <w:shd w:fill="FFFFFF" w:val="clear"/>
        </w:rPr>
        <w:t>UFMG Tube (www.ufmg.br/ufmgtube)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hd w:fill="auto" w:val="clear"/>
        <w:spacing w:line="360" w:lineRule="auto"/>
        <w:jc w:val="both"/>
      </w:pPr>
      <w:r>
        <w:rPr>
          <w:color w:val="000000"/>
          <w:sz w:val="22"/>
          <w:szCs w:val="22"/>
          <w:u w:val="single"/>
          <w:shd w:fill="FFFFFF" w:val="clear"/>
        </w:rPr>
        <w:t>Características desejáveis:</w:t>
      </w:r>
      <w:r>
        <w:rPr>
          <w:color w:val="000000"/>
          <w:sz w:val="22"/>
          <w:szCs w:val="22"/>
          <w:shd w:fill="FFFFFF" w:val="clear"/>
        </w:rPr>
        <w:t xml:space="preserve"> Facilidade em trabalhar com produção, edição e organização de acervos e dispositivos digitais. Ter conhecimentos básicos de ferramentas colaborativas para produção de conteúdos e boa redação. Responsabilidade, compromisso e comprometimento com o serviço executado e com o setor, assim como disponibilidade para trabalhar em equipe.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hd w:fill="auto" w:val="clear"/>
        <w:spacing w:line="360" w:lineRule="auto"/>
        <w:jc w:val="both"/>
      </w:pPr>
      <w:r>
        <w:rPr>
          <w:shd w:fill="FFFFFF" w:val="clear"/>
        </w:rPr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b/>
          <w:bCs/>
          <w:sz w:val="22"/>
          <w:szCs w:val="22"/>
        </w:rPr>
        <w:t>3) DAS INFORMAÇÕES SOBRE A BOLSA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</w:rPr>
        <w:t>Valor da bolsa: R$ 400,00 (quatrocentos reais)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bookmarkStart w:id="0" w:name="__UnoMark__123_2027500404"/>
      <w:bookmarkEnd w:id="0"/>
      <w:r>
        <w:rPr>
          <w:sz w:val="22"/>
          <w:szCs w:val="22"/>
        </w:rPr>
        <w:t>Prazo de vigência da bolsa: agosto/2014 até dezembro/2014 (com possibilidade de renovação).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bookmarkStart w:id="1" w:name="_GoBack"/>
      <w:bookmarkEnd w:id="1"/>
      <w:r>
        <w:rPr>
          <w:b/>
          <w:bCs/>
          <w:sz w:val="22"/>
          <w:szCs w:val="22"/>
        </w:rPr>
        <w:t>4) DO PROCESSO SELETIVO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</w:rPr>
        <w:t>O processo seletivo será realizado conforme a descrição a seguir:</w:t>
      </w:r>
    </w:p>
    <w:p>
      <w:pPr>
        <w:pStyle w:val="style0"/>
        <w:numPr>
          <w:ilvl w:val="0"/>
          <w:numId w:val="2"/>
        </w:numPr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720" w:val="left"/>
        </w:tabs>
        <w:spacing w:line="360" w:lineRule="auto"/>
        <w:jc w:val="both"/>
      </w:pPr>
      <w:r>
        <w:rPr>
          <w:sz w:val="22"/>
          <w:szCs w:val="22"/>
        </w:rPr>
        <w:t>De 21 julho a 08 de agosto 2014: publicação e divulgação do edital;</w:t>
      </w:r>
    </w:p>
    <w:p>
      <w:pPr>
        <w:pStyle w:val="style0"/>
        <w:numPr>
          <w:ilvl w:val="0"/>
          <w:numId w:val="2"/>
        </w:numPr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720" w:val="left"/>
        </w:tabs>
        <w:spacing w:line="360" w:lineRule="auto"/>
        <w:jc w:val="both"/>
      </w:pPr>
      <w:r>
        <w:rPr>
          <w:sz w:val="22"/>
          <w:szCs w:val="22"/>
        </w:rPr>
        <w:t xml:space="preserve">De 21 julho a 08 de agosto 2014: inscrição, que será feita por meio de preenchimento de uma ficha, entrega do currículo, com foto 3x4, e de uma carta de intenções de até 300 palavras (como você pode contribuir com o trabalho na DGI) no Prédio da Biblioteca Central da UFMG, 3º andar - sala 301. Horários: 9h às 11h30 e das 14h às 16h30. </w:t>
      </w:r>
    </w:p>
    <w:p>
      <w:pPr>
        <w:pStyle w:val="style0"/>
        <w:numPr>
          <w:ilvl w:val="0"/>
          <w:numId w:val="2"/>
        </w:numPr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720" w:val="left"/>
        </w:tabs>
        <w:spacing w:line="360" w:lineRule="auto"/>
        <w:jc w:val="both"/>
      </w:pPr>
      <w:r>
        <w:rPr>
          <w:sz w:val="22"/>
          <w:szCs w:val="22"/>
        </w:rPr>
        <w:t xml:space="preserve">11 e 12 de agosto 2014 – Entrevistas </w:t>
      </w:r>
    </w:p>
    <w:p>
      <w:pPr>
        <w:pStyle w:val="style0"/>
        <w:numPr>
          <w:ilvl w:val="0"/>
          <w:numId w:val="2"/>
        </w:numPr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720" w:val="left"/>
        </w:tabs>
        <w:spacing w:line="360" w:lineRule="auto"/>
        <w:jc w:val="both"/>
      </w:pPr>
      <w:r>
        <w:rPr>
          <w:sz w:val="22"/>
          <w:szCs w:val="22"/>
        </w:rPr>
        <w:t>A análise curricular e a entrevista ficarão a cargo dos professores coordenadores das ações.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720" w:val="left"/>
        </w:tabs>
        <w:spacing w:line="360" w:lineRule="auto"/>
        <w:jc w:val="both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b/>
          <w:bCs/>
          <w:sz w:val="22"/>
          <w:szCs w:val="22"/>
        </w:rPr>
        <w:t>5) DAS DISPOSIÇÕES GERAIS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</w:rPr>
        <w:t>No ato da convocação e assinatura do “Termo de Compromisso” os candidatos devem apresentar os seguintes documentos:</w:t>
      </w:r>
    </w:p>
    <w:p>
      <w:pPr>
        <w:pStyle w:val="style0"/>
        <w:numPr>
          <w:ilvl w:val="0"/>
          <w:numId w:val="3"/>
        </w:numPr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</w:rPr>
        <w:t>Carteira de Identidade e CPF;</w:t>
      </w:r>
    </w:p>
    <w:p>
      <w:pPr>
        <w:pStyle w:val="style0"/>
        <w:numPr>
          <w:ilvl w:val="0"/>
          <w:numId w:val="3"/>
        </w:numPr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</w:rPr>
        <w:t>Comprovante de matrícula 2014</w:t>
      </w:r>
    </w:p>
    <w:p>
      <w:pPr>
        <w:pStyle w:val="style0"/>
        <w:numPr>
          <w:ilvl w:val="0"/>
          <w:numId w:val="3"/>
        </w:numPr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</w:rPr>
        <w:t>E-mail</w:t>
      </w:r>
    </w:p>
    <w:p>
      <w:pPr>
        <w:pStyle w:val="style0"/>
        <w:numPr>
          <w:ilvl w:val="0"/>
          <w:numId w:val="3"/>
        </w:numPr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</w:rPr>
        <w:t>Proposta de matrícula: 2º semestre de 2014</w:t>
      </w:r>
    </w:p>
    <w:p>
      <w:pPr>
        <w:pStyle w:val="style0"/>
        <w:numPr>
          <w:ilvl w:val="0"/>
          <w:numId w:val="3"/>
        </w:numPr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</w:rPr>
        <w:t>Dados bancários do Banco do Brasil*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ind w:hanging="0" w:left="360" w:right="0"/>
        <w:jc w:val="both"/>
      </w:pPr>
      <w:r>
        <w:rPr>
          <w:sz w:val="22"/>
          <w:szCs w:val="22"/>
        </w:rPr>
        <w:t>*caso ainda não tenha: o candidato selecionado deverá providenciar a abertura de Conta no Banco do Brasil – agência Campus Pampulha. Para tanto, serão necessárias cópias dos documentos: Comprovante de residência; endereço da Unidade Acadêmica onde estuda;</w:t>
      </w:r>
      <w:r>
        <w:rPr>
          <w:rFonts w:cs="Times New Roman"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nome, endereço e telefone de duas referências de pessoas física ou comercial onde realiza compra a crédito.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sz w:val="22"/>
          <w:szCs w:val="22"/>
        </w:rPr>
        <w:t>Mais Informações: Diretoria de Governança Informacional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b w:val="false"/>
          <w:bCs w:val="false"/>
          <w:sz w:val="22"/>
          <w:szCs w:val="22"/>
        </w:rPr>
        <w:t>Tel.: 3409-5546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hd w:fill="auto" w:val="clear"/>
        <w:spacing w:line="360" w:lineRule="auto"/>
        <w:jc w:val="both"/>
      </w:pPr>
      <w:r>
        <w:rPr>
          <w:sz w:val="22"/>
          <w:szCs w:val="22"/>
        </w:rPr>
        <w:t xml:space="preserve">Belo Horizonte, 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 de julho de 2014.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hd w:fill="auto" w:val="clear"/>
        <w:spacing w:line="100" w:lineRule="atLeast"/>
        <w:jc w:val="both"/>
      </w:pPr>
      <w:r>
        <w:rPr>
          <w:b/>
          <w:bCs/>
          <w:sz w:val="22"/>
          <w:szCs w:val="22"/>
        </w:rPr>
        <w:t xml:space="preserve"> 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100" w:lineRule="atLeast"/>
        <w:jc w:val="both"/>
      </w:pPr>
      <w:r>
        <w:rPr/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100" w:lineRule="atLeast"/>
        <w:jc w:val="both"/>
      </w:pPr>
      <w:r>
        <w:rPr>
          <w:b/>
          <w:bCs/>
          <w:sz w:val="22"/>
          <w:szCs w:val="22"/>
        </w:rPr>
        <w:t>Profa. Maria Aparecida Moura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line="360" w:lineRule="auto"/>
        <w:jc w:val="both"/>
      </w:pPr>
      <w:r>
        <w:rPr>
          <w:b/>
          <w:bCs/>
          <w:sz w:val="22"/>
          <w:szCs w:val="22"/>
        </w:rPr>
        <w:t>Diretoria de Governança Informacional - DGI</w:t>
      </w:r>
    </w:p>
    <w:sectPr>
      <w:headerReference r:id="rId3" w:type="default"/>
      <w:footerReference r:id="rId4" w:type="default"/>
      <w:type w:val="nextPage"/>
      <w:pgSz w:h="16838" w:w="11906"/>
      <w:pgMar w:bottom="1134" w:footer="0" w:gutter="0" w:header="0" w:left="1701" w:right="1134" w:top="1818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TimesNewRoman">
    <w:charset w:val="00"/>
    <w:family w:val="roman"/>
    <w:pitch w:val="variable"/>
  </w:font>
  <w:font w:name="Arial">
    <w:charset w:val="8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8"/>
      <w:spacing w:after="0" w:before="200"/>
      <w:ind w:hanging="0" w:left="-1701" w:right="0"/>
      <w:contextualSpacing w:val="false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ind w:hanging="1701" w:left="0" w:right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1068" w:val="num"/>
        </w:tabs>
        <w:ind w:hanging="360" w:left="1068"/>
      </w:pPr>
      <w:rPr>
        <w:rFonts w:ascii="Arial" w:cs="Arial" w:hAnsi="Arial" w:hint="default"/>
      </w:rPr>
    </w:lvl>
    <w:lvl w:ilvl="1">
      <w:start w:val="1"/>
      <w:numFmt w:val="bullet"/>
      <w:lvlText w:val="o"/>
      <w:lvlJc w:val="left"/>
      <w:pPr>
        <w:tabs>
          <w:tab w:pos="1788" w:val="num"/>
        </w:tabs>
        <w:ind w:hanging="360" w:left="178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08" w:val="num"/>
        </w:tabs>
        <w:ind w:hanging="360" w:left="250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28" w:val="num"/>
        </w:tabs>
        <w:ind w:hanging="360" w:left="322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48" w:val="num"/>
        </w:tabs>
        <w:ind w:hanging="360" w:left="394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68" w:val="num"/>
        </w:tabs>
        <w:ind w:hanging="360" w:left="466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388" w:val="num"/>
        </w:tabs>
        <w:ind w:hanging="360" w:left="538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08" w:val="num"/>
        </w:tabs>
        <w:ind w:hanging="360" w:left="610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28" w:val="num"/>
        </w:tabs>
        <w:ind w:hanging="360" w:left="6828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pos="1068" w:val="num"/>
        </w:tabs>
        <w:ind w:hanging="360" w:left="1068"/>
      </w:pPr>
      <w:rPr>
        <w:rFonts w:ascii="Arial" w:cs="Arial" w:hAnsi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pos="1788" w:val="num"/>
        </w:tabs>
        <w:ind w:hanging="360" w:left="178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08" w:val="num"/>
        </w:tabs>
        <w:ind w:hanging="360" w:left="250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28" w:val="num"/>
        </w:tabs>
        <w:ind w:hanging="360" w:left="322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48" w:val="num"/>
        </w:tabs>
        <w:ind w:hanging="360" w:left="394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68" w:val="num"/>
        </w:tabs>
        <w:ind w:hanging="360" w:left="466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388" w:val="num"/>
        </w:tabs>
        <w:ind w:hanging="360" w:left="538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08" w:val="num"/>
        </w:tabs>
        <w:ind w:hanging="360" w:left="610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28" w:val="num"/>
        </w:tabs>
        <w:ind w:hanging="360" w:left="6828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"/>
    <w:pPr>
      <w:keepNext/>
      <w:spacing w:after="60" w:before="240"/>
      <w:contextualSpacing w:val="false"/>
    </w:pPr>
    <w:rPr>
      <w:rFonts w:ascii="Arial" w:hAnsi="Arial"/>
      <w:b/>
      <w:sz w:val="28"/>
    </w:rPr>
  </w:style>
  <w:style w:styleId="style2" w:type="paragraph">
    <w:name w:val="Título 2"/>
    <w:basedOn w:val="style0"/>
    <w:next w:val="style2"/>
    <w:pPr>
      <w:keepNext/>
      <w:spacing w:after="60" w:before="240"/>
      <w:contextualSpacing w:val="false"/>
    </w:pPr>
    <w:rPr>
      <w:rFonts w:ascii="Arial" w:hAnsi="Arial"/>
      <w:b/>
      <w:i/>
    </w:rPr>
  </w:style>
  <w:style w:styleId="style3" w:type="paragraph">
    <w:name w:val="Título 3"/>
    <w:basedOn w:val="style0"/>
    <w:next w:val="style3"/>
    <w:pPr>
      <w:keepNext/>
      <w:spacing w:after="60" w:before="240"/>
      <w:contextualSpacing w:val="false"/>
    </w:pPr>
    <w:rPr>
      <w:b/>
    </w:rPr>
  </w:style>
  <w:style w:styleId="style15" w:type="character">
    <w:name w:val="Default Paragraph Font"/>
    <w:next w:val="style15"/>
    <w:rPr/>
  </w:style>
  <w:style w:styleId="style16" w:type="character">
    <w:name w:val="Título 1 Char1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Título 2 Char1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Título 3 Char1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Título 1 Char"/>
    <w:basedOn w:val="style15"/>
    <w:next w:val="style19"/>
    <w:rPr>
      <w:rFonts w:ascii="Cambria" w:cs="Times New Roman" w:hAnsi="Cambria"/>
      <w:b/>
      <w:bCs/>
      <w:sz w:val="32"/>
      <w:szCs w:val="32"/>
    </w:rPr>
  </w:style>
  <w:style w:styleId="style20" w:type="character">
    <w:name w:val="Título 2 Char"/>
    <w:basedOn w:val="style15"/>
    <w:next w:val="style20"/>
    <w:rPr>
      <w:rFonts w:ascii="Cambria" w:cs="Times New Roman" w:hAnsi="Cambria"/>
      <w:b/>
      <w:bCs/>
      <w:i/>
      <w:iCs/>
      <w:sz w:val="28"/>
      <w:szCs w:val="28"/>
    </w:rPr>
  </w:style>
  <w:style w:styleId="style21" w:type="character">
    <w:name w:val="Título 3 Char"/>
    <w:basedOn w:val="style15"/>
    <w:next w:val="style21"/>
    <w:rPr>
      <w:rFonts w:ascii="Cambria" w:cs="Times New Roman" w:hAnsi="Cambria"/>
      <w:b/>
      <w:bCs/>
      <w:sz w:val="26"/>
      <w:szCs w:val="26"/>
    </w:rPr>
  </w:style>
  <w:style w:styleId="style22" w:type="character">
    <w:name w:val="Cabeçalho Char1"/>
    <w:basedOn w:val="style15"/>
    <w:next w:val="style22"/>
    <w:rPr>
      <w:sz w:val="24"/>
      <w:szCs w:val="24"/>
    </w:rPr>
  </w:style>
  <w:style w:styleId="style23" w:type="character">
    <w:name w:val="Cabeçalho Char"/>
    <w:basedOn w:val="style15"/>
    <w:next w:val="style23"/>
    <w:rPr>
      <w:rFonts w:cs="Times New Roman"/>
      <w:sz w:val="24"/>
      <w:szCs w:val="24"/>
    </w:rPr>
  </w:style>
  <w:style w:styleId="style24" w:type="character">
    <w:name w:val="Rodapé Char2"/>
    <w:basedOn w:val="style15"/>
    <w:next w:val="style24"/>
    <w:rPr>
      <w:sz w:val="24"/>
      <w:szCs w:val="24"/>
    </w:rPr>
  </w:style>
  <w:style w:styleId="style25" w:type="character">
    <w:name w:val="Rodapé Char1"/>
    <w:basedOn w:val="style15"/>
    <w:next w:val="style25"/>
    <w:rPr>
      <w:rFonts w:cs="Times New Roman"/>
      <w:sz w:val="24"/>
      <w:szCs w:val="24"/>
    </w:rPr>
  </w:style>
  <w:style w:styleId="style26" w:type="character">
    <w:name w:val="Rodapé Char"/>
    <w:basedOn w:val="style15"/>
    <w:next w:val="style26"/>
    <w:rPr>
      <w:rFonts w:cs="Times New Roman"/>
      <w:sz w:val="24"/>
    </w:rPr>
  </w:style>
  <w:style w:styleId="style27" w:type="character">
    <w:name w:val="Recuo de corpo de texto Char1"/>
    <w:basedOn w:val="style15"/>
    <w:next w:val="style27"/>
    <w:rPr>
      <w:sz w:val="24"/>
      <w:szCs w:val="24"/>
    </w:rPr>
  </w:style>
  <w:style w:styleId="style28" w:type="character">
    <w:name w:val="Recuo de corpo de texto Char"/>
    <w:basedOn w:val="style15"/>
    <w:next w:val="style28"/>
    <w:rPr>
      <w:rFonts w:cs="Times New Roman"/>
      <w:sz w:val="24"/>
      <w:szCs w:val="24"/>
    </w:rPr>
  </w:style>
  <w:style w:styleId="style29" w:type="character">
    <w:name w:val="texto"/>
    <w:basedOn w:val="style15"/>
    <w:next w:val="style29"/>
    <w:rPr>
      <w:rFonts w:cs="Times New Roman"/>
    </w:rPr>
  </w:style>
  <w:style w:styleId="style30" w:type="character">
    <w:name w:val="Texto de balão Char1"/>
    <w:basedOn w:val="style15"/>
    <w:next w:val="style30"/>
    <w:rPr>
      <w:sz w:val="0"/>
      <w:szCs w:val="0"/>
    </w:rPr>
  </w:style>
  <w:style w:styleId="style31" w:type="character">
    <w:name w:val="Texto de balão Char"/>
    <w:basedOn w:val="style15"/>
    <w:next w:val="style31"/>
    <w:rPr>
      <w:rFonts w:ascii="Tahoma" w:cs="Tahoma" w:hAnsi="Tahoma"/>
      <w:sz w:val="16"/>
      <w:szCs w:val="16"/>
    </w:rPr>
  </w:style>
  <w:style w:styleId="style32" w:type="character">
    <w:name w:val="Corpo de texto Char"/>
    <w:basedOn w:val="style15"/>
    <w:next w:val="style32"/>
    <w:rPr>
      <w:sz w:val="24"/>
      <w:szCs w:val="24"/>
    </w:rPr>
  </w:style>
  <w:style w:styleId="style33" w:type="character">
    <w:name w:val="ListLabel 1"/>
    <w:next w:val="style33"/>
    <w:rPr>
      <w:rFonts w:cs="Times New Roman"/>
    </w:rPr>
  </w:style>
  <w:style w:styleId="style34" w:type="character">
    <w:name w:val="ListLabel 2"/>
    <w:next w:val="style34"/>
    <w:rPr>
      <w:rFonts w:eastAsia="Times New Roman"/>
    </w:rPr>
  </w:style>
  <w:style w:styleId="style35" w:type="character">
    <w:name w:val="ListLabel 3"/>
    <w:next w:val="style35"/>
    <w:rPr>
      <w:rFonts w:eastAsia="Times New Roman"/>
      <w:color w:val="000000"/>
    </w:rPr>
  </w:style>
  <w:style w:styleId="style36" w:type="character">
    <w:name w:val="ListLabel 4"/>
    <w:next w:val="style36"/>
    <w:rPr>
      <w:rFonts w:cs="Arial"/>
    </w:rPr>
  </w:style>
  <w:style w:styleId="style37" w:type="character">
    <w:name w:val="ListLabel 5"/>
    <w:next w:val="style37"/>
    <w:rPr>
      <w:rFonts w:cs="Courier New"/>
    </w:rPr>
  </w:style>
  <w:style w:styleId="style38" w:type="character">
    <w:name w:val="ListLabel 6"/>
    <w:next w:val="style38"/>
    <w:rPr>
      <w:rFonts w:cs="Wingdings"/>
    </w:rPr>
  </w:style>
  <w:style w:styleId="style39" w:type="character">
    <w:name w:val="ListLabel 7"/>
    <w:next w:val="style39"/>
    <w:rPr>
      <w:rFonts w:cs="Symbol"/>
    </w:rPr>
  </w:style>
  <w:style w:styleId="style40" w:type="character">
    <w:name w:val="ListLabel 8"/>
    <w:next w:val="style40"/>
    <w:rPr>
      <w:rFonts w:cs="Arial"/>
      <w:color w:val="000000"/>
    </w:rPr>
  </w:style>
  <w:style w:styleId="style41" w:type="character">
    <w:name w:val="Link da Internet"/>
    <w:next w:val="style41"/>
    <w:rPr>
      <w:color w:val="000080"/>
      <w:u w:val="single"/>
      <w:lang w:bidi="zxx-" w:eastAsia="zxx-" w:val="zxx-"/>
    </w:rPr>
  </w:style>
  <w:style w:styleId="style42" w:type="paragraph">
    <w:name w:val="Título"/>
    <w:basedOn w:val="style0"/>
    <w:next w:val="style4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3" w:type="paragraph">
    <w:name w:val="Corpo do texto"/>
    <w:basedOn w:val="style0"/>
    <w:next w:val="style43"/>
    <w:pPr>
      <w:spacing w:after="120" w:before="0"/>
      <w:contextualSpacing w:val="false"/>
      <w:jc w:val="both"/>
    </w:pPr>
    <w:rPr>
      <w:rFonts w:ascii="TimesNewRoman" w:hAnsi="TimesNewRoman"/>
    </w:rPr>
  </w:style>
  <w:style w:styleId="style44" w:type="paragraph">
    <w:name w:val="Lista"/>
    <w:basedOn w:val="style43"/>
    <w:next w:val="style44"/>
    <w:pPr/>
    <w:rPr>
      <w:rFonts w:cs="Mangal"/>
    </w:rPr>
  </w:style>
  <w:style w:styleId="style45" w:type="paragraph">
    <w:name w:val="Legenda"/>
    <w:basedOn w:val="style0"/>
    <w:next w:val="style4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6" w:type="paragraph">
    <w:name w:val="Índice"/>
    <w:basedOn w:val="style0"/>
    <w:next w:val="style46"/>
    <w:pPr>
      <w:suppressLineNumbers/>
    </w:pPr>
    <w:rPr>
      <w:rFonts w:cs="Mangal"/>
    </w:rPr>
  </w:style>
  <w:style w:styleId="style47" w:type="paragraph">
    <w:name w:val="Cabeçalho"/>
    <w:basedOn w:val="style0"/>
    <w:next w:val="style47"/>
    <w:pPr>
      <w:tabs>
        <w:tab w:leader="none" w:pos="4419" w:val="center"/>
        <w:tab w:leader="none" w:pos="8838" w:val="right"/>
      </w:tabs>
    </w:pPr>
    <w:rPr/>
  </w:style>
  <w:style w:styleId="style48" w:type="paragraph">
    <w:name w:val="Rodapé"/>
    <w:basedOn w:val="style0"/>
    <w:next w:val="style48"/>
    <w:pPr>
      <w:tabs>
        <w:tab w:leader="none" w:pos="4419" w:val="center"/>
        <w:tab w:leader="none" w:pos="8838" w:val="right"/>
      </w:tabs>
    </w:pPr>
    <w:rPr/>
  </w:style>
  <w:style w:styleId="style49" w:type="paragraph">
    <w:name w:val="Corpo de texto recuado"/>
    <w:basedOn w:val="style0"/>
    <w:next w:val="style49"/>
    <w:pPr>
      <w:ind w:hanging="0" w:left="708" w:right="0"/>
      <w:jc w:val="both"/>
    </w:pPr>
    <w:rPr/>
  </w:style>
  <w:style w:styleId="style50" w:type="paragraph">
    <w:name w:val="Balloon Text"/>
    <w:basedOn w:val="style0"/>
    <w:next w:val="style50"/>
    <w:pPr/>
    <w:rPr>
      <w:rFonts w:ascii="Tahoma" w:cs="Tahoma" w:hAnsi="Tahoma"/>
      <w:sz w:val="16"/>
      <w:szCs w:val="16"/>
    </w:rPr>
  </w:style>
  <w:style w:styleId="style51" w:type="paragraph">
    <w:name w:val="western"/>
    <w:basedOn w:val="style0"/>
    <w:next w:val="style51"/>
    <w:pPr>
      <w:spacing w:after="119" w:before="28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fmg.br/colaboratorio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2014-05-23T20:30:00.00Z</dcterms:created>
  <dc:creator>pra</dc:creator>
  <cp:lastModifiedBy>cedecom</cp:lastModifiedBy>
  <cp:lastPrinted>2011-12-19T18:17:00.00Z</cp:lastPrinted>
  <dcterms:modified xsi:type="dcterms:W3CDTF">2014-05-23T20:30:00.00Z</dcterms:modified>
  <cp:revision>2</cp:revision>
  <dc:title>PROPOSTA DE TRABALHO: “PLANEJAMENTO ESTRATÉGICO”</dc:title>
</cp:coreProperties>
</file>