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7E6E6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950036" cy="149851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0036" cy="1498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MODELO PARA O ENVIO DE ARTIGOS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(Template)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(as) autores devem normatizar e formatar seus artigos no modelo apresentado a seguir.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documento deve manter a formatação atual, utilizando a fonte Times New Roman, tamanho 12, em negrito apenas para títulos e subtítulos.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deve estar justificado, com espaçamento entre linhas de 1,5.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parágrafo deve ter o recuo de uma tecla Tab.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orientações e os exemplos apresentados neste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template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devem ser apagados na versão submetida.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Textos submetidos fora do padrão serão devolvidos para os(as) autores(as).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[INSERIR O TÍTULO DO ARTIGO. USE LETRAS MAIÚSCULAS]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[INSERIR O TÍTULO DO ARTIGO, TRADUZIDO PARA O INGLÊS. USE LETRAS MAIÚSCULAS]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(Os dados dos autores NÃO poderão constar nesse documento!)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b w:val="1"/>
          <w:color w:val="6611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resumo do artigo com até 200 palavras, em parágrafo único e espaçamento simples.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66111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três palavras-chave, associadas ao tema do artigo, começando com letra maiúscula e separadas por vírgula.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b w:val="1"/>
          <w:color w:val="6611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resumo do artigo com até 200 palavras, traduzido para o inglês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66111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as palavras chave. Traduzidas em inglês.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6611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Inserir texto]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SEÇÃO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(dar o título apropriado, sem numerar a seção - Exemplo: QUADRO TEÓRICO-METODOLÓGICO)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Inserir texto]</w:t>
      </w:r>
    </w:p>
    <w:p w:rsidR="00000000" w:rsidDel="00000000" w:rsidP="00000000" w:rsidRDefault="00000000" w:rsidRPr="00000000" w14:paraId="0000001E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CITAÇÕES DIRETAS CURTAS </w:t>
      </w:r>
    </w:p>
    <w:p w:rsidR="00000000" w:rsidDel="00000000" w:rsidP="00000000" w:rsidRDefault="00000000" w:rsidRPr="00000000" w14:paraId="00000020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diretas curtas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até 40 palavras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devem vir entre aspas.  </w:t>
      </w:r>
    </w:p>
    <w:p w:rsidR="00000000" w:rsidDel="00000000" w:rsidP="00000000" w:rsidRDefault="00000000" w:rsidRPr="00000000" w14:paraId="00000021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Doença Cardiovascular (DCV) é apontada como principal DCNT e maior causa de óbito no mundo e responsável por pelo menos 20% das mortes em nossa população com mais de 30 anos de idade (Mansur; Favarato, 2016). Portanto, “nas sociedades, a DCV representa uma ameaça ao desenvolvimento social e econômico, sobretudo devido à grande proporção de óbitos que ocorrem prematuramente” (Baena, 2013, p. 5). </w:t>
      </w:r>
    </w:p>
    <w:p w:rsidR="00000000" w:rsidDel="00000000" w:rsidP="00000000" w:rsidRDefault="00000000" w:rsidRPr="00000000" w14:paraId="00000023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25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Doença Cardiovascular (DCV) é apontada como principal DCNT e maior causa de óbito no mundo e responsável por pelo menos 20% das mortes em nossa população com mais de 30 anos de idade (Mansur; Favarato, 2016). Portanto, para Baena (2013), “nas sociedades, a DCV representa uma ameaça ao desenvolvimento social e econômico, sobretudo devido à grande proporção de óbitos que ocorrem prematuramente” (p. 5). </w:t>
      </w:r>
    </w:p>
    <w:p w:rsidR="00000000" w:rsidDel="00000000" w:rsidP="00000000" w:rsidRDefault="00000000" w:rsidRPr="00000000" w14:paraId="0000002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CITAÇÕES DIRETAS LONGAS </w:t>
      </w:r>
    </w:p>
    <w:p w:rsidR="00000000" w:rsidDel="00000000" w:rsidP="00000000" w:rsidRDefault="00000000" w:rsidRPr="00000000" w14:paraId="00000029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consideradas citações diretas longas aquelas que tenham mais de 40 palavras. Elas deverão seguir um recuo de 1,27cm em relação à margem da esquerda, ter fonte 11 e espaçamento simples. Exemplo:</w:t>
      </w:r>
    </w:p>
    <w:p w:rsidR="00000000" w:rsidDel="00000000" w:rsidP="00000000" w:rsidRDefault="00000000" w:rsidRPr="00000000" w14:paraId="0000002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Acredita-se ser pertinente apontar que, no entendimento destes autores, a extensão universitária é constituída a partir de diálogos e ações entre acadêmicos, professores e universidades. Segundo a Política Nacional de Extensão Universitária (2012, p. 28):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Extensão Universitária denota uma postura da Universidade na sociedade em que se insere. Seu escopo é o de um processo interdisciplinar, educativo, cultural, científico e político, por meio do qual promove uma interação que transforma não apenas a Universidade, mas, também os setores sociais com os quais ela interage [...] denota também prática acadêmica, a ser desenvolvida, como manda a Constituição de 1988, de forma indissociável com o Ensino e a Pesquisa, com vistas à promoção e garantia dos valores democráticos, da equidade e do desenvolvimento da sociedade em suas dimensões humana, ética, econômica, cultural, social.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CITAÇÕES INDIRETAS </w:t>
      </w:r>
    </w:p>
    <w:p w:rsidR="00000000" w:rsidDel="00000000" w:rsidP="00000000" w:rsidRDefault="00000000" w:rsidRPr="00000000" w14:paraId="00000031">
      <w:pPr>
        <w:spacing w:after="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 um autor:</w:t>
      </w:r>
    </w:p>
    <w:p w:rsidR="00000000" w:rsidDel="00000000" w:rsidP="00000000" w:rsidRDefault="00000000" w:rsidRPr="00000000" w14:paraId="00000032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Numa época em que os defeitos maxilares são cada vez mais comuns é primordial ter conhecimento dos procedimentos existentes, desde a cirurgia até a reabilitação protética (Pereira, 2014).</w:t>
      </w:r>
    </w:p>
    <w:p w:rsidR="00000000" w:rsidDel="00000000" w:rsidP="00000000" w:rsidRDefault="00000000" w:rsidRPr="00000000" w14:paraId="00000033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35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Bikandi (2000), em seu texto, discorre sobre a influência do fator idade na aprendizagem de uma L2. Ela defende a vantagem de iniciar esse processo logo nos primeiros anos de vida, principalmente se a experiência incluir uma exposição massiva. Assim, o aprendente tem oportunidade e possibilidade de se comportar como um falante bilíngue desde muito cedo.</w:t>
      </w:r>
    </w:p>
    <w:p w:rsidR="00000000" w:rsidDel="00000000" w:rsidP="00000000" w:rsidRDefault="00000000" w:rsidRPr="00000000" w14:paraId="0000003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48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 dois autores: </w:t>
      </w:r>
    </w:p>
    <w:p w:rsidR="00000000" w:rsidDel="00000000" w:rsidP="00000000" w:rsidRDefault="00000000" w:rsidRPr="00000000" w14:paraId="00000039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Segundo Larsen-Freeman e Long (1994), avaliar a influência do fator idade na aquisição/aprendizagem de Segunda Língua (L2) ou Língua Estrangeira (LE) sempre foi um tema controverso. Conforme apontam os autores, há pesquisas que afirmam que a aquisição/aprendizagem de um idioma é um processo que pode ser realizado com sucesso, independentemente da idade do indivíduo; outros defendem que os adultos aprendem com mais facilidade porque, logo no início, avançam com mais rapidez do que as crianças; já alguns consideram que os adultos possuem desvantagens só em alguns níveis da língua, especialmente</w:t>
      </w:r>
    </w:p>
    <w:p w:rsidR="00000000" w:rsidDel="00000000" w:rsidP="00000000" w:rsidRDefault="00000000" w:rsidRPr="00000000" w14:paraId="0000003A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fonologia.</w:t>
      </w:r>
    </w:p>
    <w:p w:rsidR="00000000" w:rsidDel="00000000" w:rsidP="00000000" w:rsidRDefault="00000000" w:rsidRPr="00000000" w14:paraId="0000003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3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se tratando de materiais protéticos, as propriedades desejáveis desses incluem durabilidade, flexibilidade, biocompatibilidade, baixo peso, estabilidade de cores, higiene, condutividade térmica, facilidade de fabricação e de uso, textura, disponibilidade e baixo custo (Mantri &amp; Khan, 2012).</w:t>
      </w:r>
    </w:p>
    <w:p w:rsidR="00000000" w:rsidDel="00000000" w:rsidP="00000000" w:rsidRDefault="00000000" w:rsidRPr="00000000" w14:paraId="0000003F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41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2008, Bonfim e Ortiz Álvarez realizaram uma investigação acerca da aprendizagem de Língua Inglesa em adultos, do gênero masculino e feminino, com idades entre 40 e 65 anos.</w:t>
      </w:r>
    </w:p>
    <w:p w:rsidR="00000000" w:rsidDel="00000000" w:rsidP="00000000" w:rsidRDefault="00000000" w:rsidRPr="00000000" w14:paraId="00000043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 mais de dois autores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excisão cirúrgica é normalmente o tratamento escolhido e, muitas vezes, o paciente apresentará uma grande discrepância na área atingida (Neville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2016; Rabelo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2018).</w:t>
      </w:r>
    </w:p>
    <w:p w:rsidR="00000000" w:rsidDel="00000000" w:rsidP="00000000" w:rsidRDefault="00000000" w:rsidRPr="00000000" w14:paraId="00000047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49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Luz, Lima e Monteiro (2013) argumentam sobre as habilidades limitadas do idoso para aprender o novo, devido às suas capacidades restritas. </w:t>
      </w:r>
    </w:p>
    <w:p w:rsidR="00000000" w:rsidDel="00000000" w:rsidP="00000000" w:rsidRDefault="00000000" w:rsidRPr="00000000" w14:paraId="0000004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Os diferentes trabalhos são ordenados alfabeticamente e separados uns dos outros por ponto e vírgula. Exemplo: </w:t>
      </w:r>
    </w:p>
    <w:p w:rsidR="00000000" w:rsidDel="00000000" w:rsidP="00000000" w:rsidRDefault="00000000" w:rsidRPr="00000000" w14:paraId="0000004D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se tratando de crianças, o período de hospitalização se caracteriza como um evento estressor para o paciente e seus familiares. Este ocasiona danos no crescimento e no desenvolvimento saudável da criança, pois as rotinas, as atividades e os fluxos são diferentes dos que ela está habituada em sua casa, além da exposição a todas as técnicas e procedimentos realizados para promover a recuperação, que geralmente causam medo e desespero (Coyne, 2017; Neutzling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2017).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SEÇÃO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(dar o título apropriado, sem numerar a seção - Exemplo: RESULTADOS E DISCUSSÃO)</w:t>
      </w:r>
    </w:p>
    <w:p w:rsidR="00000000" w:rsidDel="00000000" w:rsidP="00000000" w:rsidRDefault="00000000" w:rsidRPr="00000000" w14:paraId="0000005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Inserir texto]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Exemplo de tabela</w:t>
      </w:r>
    </w:p>
    <w:p w:rsidR="00000000" w:rsidDel="00000000" w:rsidP="00000000" w:rsidRDefault="00000000" w:rsidRPr="00000000" w14:paraId="0000005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/>
      </w:pPr>
      <w:r w:rsidDel="00000000" w:rsidR="00000000" w:rsidRPr="00000000">
        <w:rPr>
          <w:color w:val="333333"/>
        </w:rPr>
        <w:drawing>
          <wp:inline distB="0" distT="0" distL="0" distR="0">
            <wp:extent cx="5400040" cy="3350260"/>
            <wp:effectExtent b="0" l="0" r="0" t="0"/>
            <wp:docPr descr="Tabela&#10;&#10;Descrição gerada automaticamente" id="12" name="image2.jpg"/>
            <a:graphic>
              <a:graphicData uri="http://schemas.openxmlformats.org/drawingml/2006/picture">
                <pic:pic>
                  <pic:nvPicPr>
                    <pic:cNvPr descr="Tabela&#10;&#10;Descrição gerada automaticamente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50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Sánchez, C. (2020).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Tabela 2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Resumo de estudos com variação da efetividade do uso de bloqueador solar</w:t>
      </w:r>
    </w:p>
    <w:tbl>
      <w:tblPr>
        <w:tblStyle w:val="Table1"/>
        <w:tblW w:w="9356.0" w:type="dxa"/>
        <w:jc w:val="left"/>
        <w:tblInd w:w="0.0" w:type="dxa"/>
        <w:tblLayout w:type="fixed"/>
        <w:tblLook w:val="0400"/>
      </w:tblPr>
      <w:tblGrid>
        <w:gridCol w:w="2977"/>
        <w:gridCol w:w="2126"/>
        <w:gridCol w:w="2127"/>
        <w:gridCol w:w="2126"/>
        <w:tblGridChange w:id="0">
          <w:tblGrid>
            <w:gridCol w:w="2977"/>
            <w:gridCol w:w="2126"/>
            <w:gridCol w:w="2127"/>
            <w:gridCol w:w="2126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Fator de proteção 50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Fator de proteção 30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Fator de proteção 15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Alvarado (1999)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0.98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0.75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0.53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Costa e Silva (2003)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0.95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0.67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0.49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Hermosillo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 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(2003)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0.97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0.72</w:t>
            </w:r>
          </w:p>
        </w:tc>
        <w:tc>
          <w:tcPr>
            <w:tcBorders>
              <w:top w:color="dddddd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0.64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dddddd" w:space="0" w:sz="6" w:val="single"/>
              <w:bottom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Tabarez e Sánchez (2019)</w:t>
            </w:r>
          </w:p>
        </w:tc>
        <w:tc>
          <w:tcPr>
            <w:tcBorders>
              <w:top w:color="dddddd" w:space="0" w:sz="6" w:val="single"/>
              <w:bottom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0.95</w:t>
            </w:r>
          </w:p>
        </w:tc>
        <w:tc>
          <w:tcPr>
            <w:tcBorders>
              <w:top w:color="dddddd" w:space="0" w:sz="6" w:val="single"/>
              <w:bottom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0.54</w:t>
            </w:r>
          </w:p>
        </w:tc>
        <w:tc>
          <w:tcPr>
            <w:tcBorders>
              <w:top w:color="dddddd" w:space="0" w:sz="6" w:val="single"/>
              <w:bottom w:color="000000" w:space="0" w:sz="4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0.55</w:t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Sánchez, C. (2020).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SEÇÃO 3 ou quantas mais forem necessárias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(dar o título apropriado, sem numerar a seção)</w:t>
      </w:r>
    </w:p>
    <w:p w:rsidR="00000000" w:rsidDel="00000000" w:rsidP="00000000" w:rsidRDefault="00000000" w:rsidRPr="00000000" w14:paraId="0000006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tl w:val="0"/>
        </w:rPr>
        <w:t xml:space="preserve">Inserir texto]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6611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texto]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color w:val="66111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REFERÊNCIAS 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precisam estar de acordo com as normas da APA. Seguem alguns exemplos:</w:t>
      </w:r>
    </w:p>
    <w:p w:rsidR="00000000" w:rsidDel="00000000" w:rsidP="00000000" w:rsidRDefault="00000000" w:rsidRPr="00000000" w14:paraId="0000007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Aguiar, A. C. L. (2018). Blog como ferramenta educacional: contribuições para o processo interdisciplinar de educação em saúde.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Eletrônica de Comunicação Informação &amp; Inovação em Saúde (Reciis)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12(2), 220-231. https://www.reciis.icict.fiocruz.br/index.php/reciis/article/view/1301/2209.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 (2020). Ministério da Saúde. Secretaria de Atenção Especializada à Saúde. Departamento de Atenção Hospitalar, Domiciliar e de Urgência.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Protocolo de manejo clínico da Covid-19 na Atenção Especializada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Brasília. https://bvsms.saude.gov.br/bvs/publicacoes/manejo_clinico_covid-19_atencao_especializada.pdf.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(2020). Ministério da Saúde. Secretaria de Atenção Primária à Saúde. Departamento de Ações Programáticas Estratégicas.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Nota técnica nº 13/2020-COSMU/CGCIVI/DAPES/SAPS/MS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Recomendações acerca da atenção puerperal, alta segura e contracepção durante a pandemia da COVID-19. Brasília. https://portaldeboaspraticas.iff.fiocruz.br/wp-content/.uploads/2020/05/SEI_MS-0014644803-Nota-Te%CC%81cnica-5.pdf.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Mello, A. G., Nuernberg, A. H.; Pamela Block. (2019). Os Estudos Sobre Deficiência no Brasil: Passado, Presente e Futuro.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Chemical Information and Modeling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53(9), 1689-1699.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Mello, A. G. (2016). Deficiência, Incapacidade e Vulnerabilidade: do Capacitismo  ou a Preeminência Capacitista e Biomédica do Comitê de Ética em Pesquisa da UFSC.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Ciência e Saúde Coletiva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21(10), 3265–3276.</w:t>
      </w:r>
    </w:p>
    <w:p w:rsidR="00000000" w:rsidDel="00000000" w:rsidP="00000000" w:rsidRDefault="00000000" w:rsidRPr="00000000" w14:paraId="0000007F">
      <w:pPr>
        <w:spacing w:after="0" w:line="240" w:lineRule="auto"/>
        <w:ind w:left="144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Michalkiewicz, Zuleica A.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Diferenças entre as normas APA e ABNT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dicas práticas.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https://www.youtube.com/watch?v=LvVpSFQL5Os&amp;ab_channel=SiBiUFPR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Mussoi, E. M.; Lenzi, L. H. C. (2015). Extensão Universitária: entre o continuísmo e a utopia.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Revista Extensio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Florianópolis, 12(20), 103–122.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Nóvoa, A. (2009).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Professores: imagens do futuro presente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Lisboa, PT: EDUCA.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Oliveira, W. F. (2016). O núcleo de humanização, arte e saúde: uma experiência  coletiva de </w:t>
      </w:r>
    </w:p>
    <w:p w:rsidR="00000000" w:rsidDel="00000000" w:rsidP="00000000" w:rsidRDefault="00000000" w:rsidRPr="00000000" w14:paraId="0000008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produção social de saúde.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CBSM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8(18), 198–211.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http://incubadora.periodicos.ufsc.br/index.php/cbsm/article/viewFile/4224/4632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Patriarcha-Graciolli, S. R., &amp; Melim, A. P. G. (2018). Contributos do Projeto de Extensão “Labinter” para a Formação Docente. In: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III Jornada Brasileira de Educação e Linguagem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Campo Grande, MS.</w:t>
      </w:r>
    </w:p>
    <w:p w:rsidR="00000000" w:rsidDel="00000000" w:rsidP="00000000" w:rsidRDefault="00000000" w:rsidRPr="00000000" w14:paraId="0000008A">
      <w:pPr>
        <w:spacing w:after="0"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Rodrigues, A. L. L.; Prata, M. S., Batalha, T. B. S., Costa, C. L. N. A., &amp; Neto, I. F. P. (2013). Contribuições da extensão universitária na sociedade.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Caderno de Graduação-Ciências Humanas e Sociais-UNIT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1(2), 141–148.</w:t>
      </w:r>
    </w:p>
    <w:p w:rsidR="00000000" w:rsidDel="00000000" w:rsidP="00000000" w:rsidRDefault="00000000" w:rsidRPr="00000000" w14:paraId="0000008C">
      <w:pPr>
        <w:spacing w:after="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Sánchez, C. (2020). Tablas. Normas APA (7ma edición). https://normas-apa.org/estructura/tablas/.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Síveres, L. (2013). O princípio da aprendizagem na extensão universitária. In: Síveres, L. (Org.).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extensão universitária como princípio de aprendizagem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Brasília, DF: Liber Livro.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OBSERVAÇÕES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indicação da cidade da editora não é item obrigatório.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é necessário usar a expressão “Recuperado de” / “Disponível em” para endereços eletrônicos.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é necessário indicar o tipo de livro eletrônico, por exemplo, kindle, PDF etc.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DOI mostra-se como uma URL de doi.org como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https://doi.org/10.1109/5.771073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relação às citações do texto, as referências com 3 autores podem ser encurtadas pelo nome do primeiro autor seguido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Times New Roman" w:cs="Times New Roman" w:eastAsia="Times New Roman" w:hAnsi="Times New Roman"/>
          <w:color w:val="66111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CONTRIBUIÇÃO DOS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caso de textos com cinco ou mais autores (as), informar brevemente a contribuição de cada um (a).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Lucida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Lucida Sans" w:cs="Lucida Sans" w:eastAsia="Lucida Sans" w:hAnsi="Lucida San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Lucida Sans" w:cs="Lucida Sans" w:eastAsia="Lucida Sans" w:hAnsi="Lucida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ucida Sans" w:cs="Lucida Sans" w:eastAsia="Lucida Sans" w:hAnsi="Lucida San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Lucida Sans" w:cs="Lucida Sans" w:eastAsia="Lucida Sans" w:hAnsi="Lucida San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Lucida Sans" w:cs="Lucida Sans" w:eastAsia="Lucida Sans" w:hAnsi="Lucida San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ucida Sans" w:cs="Lucida Sans" w:eastAsia="Lucida Sans" w:hAnsi="Lucida San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Lucida Sans" w:cs="Lucida Sans" w:eastAsia="Lucida Sans" w:hAnsi="Lucida San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Lucida Sans" w:cs="Lucida Sans" w:eastAsia="Lucida Sans" w:hAnsi="Lucida San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ucida Sans" w:cs="Lucida Sans" w:eastAsia="Lucida Sans" w:hAnsi="Lucida San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F43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7F43D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F43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F43D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F43D7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F43D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F43D7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D1358F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D1358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nfase">
    <w:name w:val="Emphasis"/>
    <w:basedOn w:val="Fontepargpadro"/>
    <w:uiPriority w:val="20"/>
    <w:qFormat w:val="1"/>
    <w:rsid w:val="00260799"/>
    <w:rPr>
      <w:i w:val="1"/>
      <w:iCs w:val="1"/>
    </w:rPr>
  </w:style>
  <w:style w:type="character" w:styleId="TtulosnonumeradosChar" w:customStyle="1">
    <w:name w:val="Títulos não numerados Char"/>
    <w:link w:val="Ttulosnonumerados"/>
    <w:locked w:val="1"/>
    <w:rsid w:val="001400DC"/>
    <w:rPr>
      <w:b w:val="1"/>
      <w:caps w:val="1"/>
      <w:sz w:val="24"/>
      <w:szCs w:val="24"/>
    </w:rPr>
  </w:style>
  <w:style w:type="paragraph" w:styleId="Ttulosnonumerados" w:customStyle="1">
    <w:name w:val="Títulos não numerados"/>
    <w:basedOn w:val="Normal"/>
    <w:link w:val="TtulosnonumeradosChar"/>
    <w:autoRedefine w:val="1"/>
    <w:qFormat w:val="1"/>
    <w:rsid w:val="001400DC"/>
    <w:pPr>
      <w:suppressAutoHyphens w:val="1"/>
      <w:spacing w:after="0" w:line="360" w:lineRule="auto"/>
      <w:jc w:val="both"/>
    </w:pPr>
    <w:rPr>
      <w:b w:val="1"/>
      <w:caps w:val="1"/>
      <w:sz w:val="24"/>
      <w:szCs w:val="24"/>
    </w:rPr>
  </w:style>
  <w:style w:type="paragraph" w:styleId="Reviso">
    <w:name w:val="Revision"/>
    <w:hidden w:val="1"/>
    <w:uiPriority w:val="99"/>
    <w:semiHidden w:val="1"/>
    <w:rsid w:val="009A22C2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9A22C2"/>
    <w:pPr>
      <w:ind w:left="720"/>
      <w:contextualSpacing w:val="1"/>
    </w:p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9F7082"/>
    <w:rPr>
      <w:color w:val="605e5c"/>
      <w:shd w:color="auto" w:fill="e1dfdd" w:val="clear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715BC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incubadora.periodicos.ufsc.br/index.php/cbsm/article/viewFile/4224/4632" TargetMode="External"/><Relationship Id="rId9" Type="http://schemas.openxmlformats.org/officeDocument/2006/relationships/hyperlink" Target="https://www.youtube.com/watch?v=LvVpSFQL5Os&amp;ab_channel=SiBiUFP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eIWEvKo3bVVZLdU/QIhxbLusQ==">AMUW2mVqNuK8MZ4w37JoWoVwaIPmkWJgl7EELg4Xjx2LlOXWtvmDFknUGPqxY5XZruFNcU010WXuam1cTja9NPxAP6aWG/0YcThFFc/3466XV8+6ioqDouqBN0Xcb+Z60LO/gf87Yykz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2021-12-14T13:46:00Z</dcterms:created>
  <dc:creator>Vitória Teixeira</dc:creator>
</cp:coreProperties>
</file>