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</w:r>
    </w:p>
    <w:tbl>
      <w:tblPr>
        <w:tblW w:w="10095" w:type="dxa"/>
        <w:jc w:val="left"/>
        <w:tblInd w:w="-44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95"/>
      </w:tblGrid>
      <w:tr>
        <w:trPr>
          <w:trHeight w:val="366" w:hRule="atLeast"/>
        </w:trPr>
        <w:tc>
          <w:tcPr>
            <w:tcW w:w="1009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6A6A6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FORMULÁRIO PARA SOLICITAÇÃO PELO ESTUDANTE DE </w:t>
            </w:r>
          </w:p>
          <w:p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REGIME ACADÊMICO ESPECIAL PARA PERMANÊNCIA (RAEP)</w:t>
            </w:r>
          </w:p>
          <w:p>
            <w:pPr>
              <w:pStyle w:val="Standard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10095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NOME DO ESTUDANTE:</w:t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Nº DE REGISTRO:</w:t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CURSO ou ESTRUTURA FORMATIVA DE TRONCO COMUM: </w:t>
            </w:r>
          </w:p>
          <w:p>
            <w:pPr>
              <w:pStyle w:val="Standard"/>
              <w:spacing w:lineRule="auto" w:line="27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 xml:space="preserve">No registro do eMEC e no SiSU, o ingresso no tronco comum é denominado Área Básica de Ingresso (ABI).        </w:t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TURNO:</w:t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SEMESTRE DE INGRESSO NO CURSO/TRONCO COMUM:  </w:t>
            </w:r>
          </w:p>
        </w:tc>
      </w:tr>
      <w:tr>
        <w:trPr>
          <w:trHeight w:val="340" w:hRule="atLeast"/>
        </w:trPr>
        <w:tc>
          <w:tcPr>
            <w:tcW w:w="10095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spacing w:lineRule="auto" w:line="276" w:before="57" w:after="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SEMESTRE(S) PARA O(S) QUAL(IS) SOLICITA   RAEP:</w:t>
            </w:r>
          </w:p>
          <w:p>
            <w:pPr>
              <w:pStyle w:val="Standard"/>
              <w:spacing w:lineRule="auto" w:line="276" w:before="57" w:after="57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 xml:space="preserve">A depender de cada situação, o Colegiado de referência poderá conceder RAEP por até dois períodos letivos, permitida a renovação, caso se constate a persistência da condição que motivou a concessão.   </w:t>
            </w:r>
          </w:p>
          <w:p>
            <w:pPr>
              <w:pStyle w:val="Standard"/>
              <w:rPr>
                <w:rFonts w:ascii="Times New Roman" w:hAnsi="Times New Roman" w:cs="Times New Roman"/>
                <w:b/>
                <w:b/>
                <w:color w:val="A5A5A5" w:themeColor="accent3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5A5A5" w:themeColor="accent3"/>
                <w:sz w:val="18"/>
                <w:szCs w:val="18"/>
              </w:rPr>
              <w:t>Atenção! Os processos de solicitação encerrados, com decisão pelo deferimento, em prazo maior que 50 (cinquenta) dias corridos após início do período letivo vigente implicarão na concessão do RAEP para o período letivo subsequente. Acompanhe o processo junto ao Colegiado de referência.</w:t>
            </w:r>
          </w:p>
          <w:p>
            <w:pPr>
              <w:pStyle w:val="Standard"/>
              <w:rPr>
                <w:rFonts w:ascii="Times New Roman" w:hAnsi="Times New Roman" w:cs="Times New Roman"/>
                <w:b/>
                <w:b/>
                <w:color w:val="A5A5A5" w:themeColor="accent3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A5A5A5" w:themeColor="accent3"/>
                <w:sz w:val="18"/>
                <w:szCs w:val="18"/>
              </w:rPr>
            </w:r>
          </w:p>
        </w:tc>
      </w:tr>
      <w:tr>
        <w:trPr>
          <w:trHeight w:val="85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Standard"/>
              <w:spacing w:lineRule="auto" w:line="48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Solicito Regime Acadêmico Especial para Permanência (RAEP), previsto no art. 2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vertAlign w:val="superscript"/>
              </w:rPr>
              <w:t>o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da Resolução CEPE Nº 01/2023, de 20/04/2023, tendo como fundamentação o(s) seguinte(s) inciso(s):</w:t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(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DOENÇA CRÔNICA OU PROLONGADA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inciso I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RELATÓRIO MÉDICO</w:t>
            </w:r>
          </w:p>
          <w:p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ADICIONAL:_____________________________ _____________________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5A5A5" w:themeColor="accent3"/>
                <w:sz w:val="18"/>
                <w:szCs w:val="18"/>
              </w:rPr>
              <w:t>O relatório médico deverá descrever como a condição de doença crônica ou prolongada compromete o ritmo dos estudos e deverá esclarecer sobre a viabilidade de realização das atividades acadêmicas, pelo estudante, em ritmo reduzido, conside</w:t>
              <w:softHyphen/>
              <w:t>rando, quando for o caso, as especificidades exigidas para a realização de atividades de estágio, trabalho de campo, laboratório, extensão, entre outras.</w:t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(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DEFICIÊNCIAS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inciso II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AVALIAÇÃO BIOPSICOSSOCIAL REALIZADA PELO NAI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ADICIONAL:_____________________________ _____________________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(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SOFRIMENTO MENTAL </w:t>
            </w:r>
            <w:r>
              <w:rPr>
                <w:rFonts w:ascii="Times New Roman" w:hAnsi="Times New Roman"/>
                <w:sz w:val="20"/>
                <w:szCs w:val="20"/>
              </w:rPr>
              <w:t>- inciso III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RELATÓRIO DE PROFISSIONAL QUE ATUA NA ÁREA DE SAÚDE MENTAL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 ____________________________________________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5A5A5" w:themeColor="accent3"/>
                <w:sz w:val="18"/>
                <w:szCs w:val="18"/>
              </w:rPr>
              <w:t>O relatório do profissional que atua na área de saúde mental deverá descrever como a condição de so</w:t>
              <w:softHyphen/>
              <w:t>frimento mental compromete o ritmo de estudos e deverá esclarecer sobre a viabilidade de realização das atividades acadêmicas, pelo estudante, em ritmo reduzido, considerando, quando for o caso, as especificidades exigidas para a realização de atividades de estágio, trabalho de campo, laboratório, extensão, entre outras.</w:t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(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GESTAÇÃO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inciso IV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RELATÓRIO MÉDICO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ADICIONAL:______________________ ____________________________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5A5A5" w:themeColor="accent3"/>
                <w:sz w:val="18"/>
                <w:szCs w:val="18"/>
              </w:rPr>
              <w:t>O relatório médico deverá descrever como a gestação compromete o ritmo dos estudos e deverá esclarecer sobre a viabilidade de realização das atividades acadêmicas, pela estudante, em ritmo reduzido, conside</w:t>
              <w:softHyphen/>
              <w:t>rando, quando for o caso, as especificidades exigidas para a realização de atividades de estágio, trabalho de campo, laboratório, extensão, entre outras.</w:t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(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GUARDA E COMPANHIA DE FILHOS COM MENOS DE 4 (QUATRO) ANOS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inciso V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DECLARAÇÃO DE INEXISTÊNCIA  OU  INADEQUAÇÃO DE REDE DE APOIO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 ____________________________________________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(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RESPONSABILIDADE LEGAL POR CUIDADOS A PESSOAS DOENTES OU COM DEFICIÊNCIAS COM DEMANDA DE CUIDADO PROLONGADO </w:t>
            </w:r>
            <w:r>
              <w:rPr>
                <w:rFonts w:ascii="Times New Roman" w:hAnsi="Times New Roman"/>
                <w:sz w:val="20"/>
                <w:szCs w:val="20"/>
              </w:rPr>
              <w:t>– inciso VI</w:t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DOCUMENTOS:  (    ) DECLARAÇÃO DE INEXISTÊNCIA OU INADEQUAÇÃO DE REDE DE APOIO</w:t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    ) DOCUMENTAÇÃO ADICIONAL:_____________________________ _____________________</w:t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7) (    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OUTRA SITUAÇÃO ANÁLOGA</w:t>
            </w:r>
            <w:r>
              <w:rPr>
                <w:rFonts w:ascii="Times New Roman" w:hAnsi="Times New Roman"/>
                <w:sz w:val="20"/>
                <w:szCs w:val="20"/>
              </w:rPr>
              <w:t>: _______________________________________ INCISO VII</w:t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DOCUMENTOS :___________________________________________________________________________________</w:t>
            </w:r>
          </w:p>
          <w:p>
            <w:pPr>
              <w:pStyle w:val="Standard"/>
              <w:jc w:val="both"/>
              <w:rPr>
                <w:rFonts w:ascii="Times New Roman" w:hAnsi="Times New Roman" w:cs="Times New Roman"/>
                <w:b/>
                <w:b/>
                <w:bCs/>
                <w:color w:val="A5A5A5" w:themeColor="accent3"/>
                <w:sz w:val="18"/>
                <w:szCs w:val="18"/>
                <w:highlight w:val="yellow"/>
              </w:rPr>
            </w:pPr>
            <w:r>
              <w:rPr>
                <w:rFonts w:cs="Times New Roman" w:ascii="Times New Roman" w:hAnsi="Times New Roman"/>
                <w:color w:val="A5A5A5" w:themeColor="accent3"/>
                <w:sz w:val="18"/>
                <w:szCs w:val="18"/>
              </w:rPr>
              <w:t>A situação análoga, permanente ou transitória, deve ser caracterizada como aquela que comprometa, significativamente, a capacidade do estudante de dar prosseguimento aos seus estudos no ritmo padrão previsto na proposta formativa do curso ou do tronco comum de vínculo e manter a sua permanência qualificada na Universidade.</w:t>
            </w:r>
          </w:p>
          <w:p>
            <w:pPr>
              <w:pStyle w:val="Standard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JUSTIFICATIVA:</w:t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>O estudante deve registrar aqui a sua justificativa para solicitação do RAEP. Para tanto, deve ser realizado um relato que detalhe a(s) condição(ões) declarada(s) para fundamentar o  pedido, sendo destacado o(s) seu(s) impacto(s) na condução da vida acadêmica.</w:t>
            </w:r>
          </w:p>
          <w:p>
            <w:pPr>
              <w:pStyle w:val="Standard"/>
              <w:spacing w:lineRule="auto" w:line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PLANEJAMENTO:</w:t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>O estudante deve descrever aqui de que maneira as flexibilizações de regime acadêmico, previstas nos arts. 5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 xml:space="preserve"> e 6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 xml:space="preserve"> da Resolução CEPE Nº 01/2023, de 20/04/2023, e as adaptações pedagógicas, previstas no art. 7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  <w:u w:val="single"/>
                <w:vertAlign w:val="superscript"/>
              </w:rPr>
              <w:t>O</w:t>
            </w: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  <w:t>, podem favorecer o prosseguimento dos estudos e sua permanência qualificada na Universidade.</w:t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  <w:p>
            <w:pPr>
              <w:pStyle w:val="Standard"/>
              <w:jc w:val="both"/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pPr>
            <w:r>
              <w:rPr>
                <w:rFonts w:ascii="Times New Roman" w:hAnsi="Times New Roman"/>
                <w:color w:val="A5A5A5" w:themeColor="accent3"/>
                <w:sz w:val="18"/>
                <w:szCs w:val="18"/>
              </w:rPr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) Declaro estar ciente que, conforme art. 8º da Resolução CEPE No 01/2023, de 20/04/2023, e decisão da Câmara de Graduação, de 30/04/2024, que a concessão de regime acadêmico especial para permanência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prevê: a) a substituição de atividades presenciais por atividades domiciliares ou atividades ofertadas no formato pedagógico a distância; b) abono de faltas, cuja aplicação é prevista apenas nos casos determinados em lei; e c) reposição de aulas perdidas pelo estudante.</w:t>
            </w:r>
          </w:p>
        </w:tc>
      </w:tr>
      <w:tr>
        <w:trPr>
          <w:trHeight w:val="170" w:hRule="atLeast"/>
        </w:trPr>
        <w:tc>
          <w:tcPr>
            <w:tcW w:w="100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____/____/________                                                                      ______________________________________________</w:t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>DATA                                                                                                   ASSINATURA DO(A) REQUERENTE</w:t>
            </w:r>
          </w:p>
          <w:p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Standard"/>
        <w:rPr/>
      </w:pPr>
      <w:r>
        <w:rPr/>
        <w:tab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ource Serif Pr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0da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fc0da0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c0da0"/>
    <w:rPr>
      <w:rFonts w:cs="Mangal"/>
      <w:b/>
      <w:bCs/>
      <w:sz w:val="20"/>
      <w:szCs w:val="18"/>
    </w:rPr>
  </w:style>
  <w:style w:type="character" w:styleId="A10" w:customStyle="1">
    <w:name w:val="A10"/>
    <w:uiPriority w:val="99"/>
    <w:qFormat/>
    <w:rsid w:val="00ea053e"/>
    <w:rPr>
      <w:rFonts w:cs="Source Serif Pro"/>
      <w:color w:val="000000"/>
      <w:sz w:val="10"/>
      <w:szCs w:val="1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fc0da0"/>
    <w:pPr>
      <w:widowControl/>
      <w:bidi w:val="0"/>
      <w:spacing w:before="0" w:after="0"/>
      <w:jc w:val="left"/>
    </w:pPr>
    <w:rPr>
      <w:rFonts w:cs="Mangal" w:ascii="Liberation Serif" w:hAnsi="Liberation Serif" w:eastAsia="NSimSun"/>
      <w:color w:val="auto"/>
      <w:kern w:val="2"/>
      <w:sz w:val="24"/>
      <w:szCs w:val="21"/>
      <w:lang w:val="pt-BR" w:eastAsia="zh-CN" w:bidi="hi-IN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c0da0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c0da0"/>
    <w:pPr/>
    <w:rPr>
      <w:b/>
      <w:bCs/>
    </w:rPr>
  </w:style>
  <w:style w:type="paragraph" w:styleId="Default" w:customStyle="1">
    <w:name w:val="Default"/>
    <w:qFormat/>
    <w:rsid w:val="00ea053e"/>
    <w:pPr>
      <w:widowControl/>
      <w:bidi w:val="0"/>
      <w:spacing w:before="0" w:after="0"/>
      <w:jc w:val="left"/>
    </w:pPr>
    <w:rPr>
      <w:rFonts w:ascii="Source Serif Pro" w:hAnsi="Source Serif Pro" w:cs="Source Serif Pro" w:eastAsia="NSimSun"/>
      <w:color w:val="000000"/>
      <w:kern w:val="0"/>
      <w:sz w:val="24"/>
      <w:szCs w:val="24"/>
      <w:lang w:bidi="ar-SA" w:val="pt-BR" w:eastAsia="zh-CN"/>
    </w:rPr>
  </w:style>
  <w:style w:type="paragraph" w:styleId="Pa11" w:customStyle="1">
    <w:name w:val="Pa11"/>
    <w:basedOn w:val="Default"/>
    <w:next w:val="Default"/>
    <w:uiPriority w:val="99"/>
    <w:qFormat/>
    <w:rsid w:val="00ea053e"/>
    <w:pPr>
      <w:spacing w:lineRule="atLeast" w:line="171"/>
    </w:pPr>
    <w:rPr>
      <w:rFonts w:cs="Times New Roman"/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LibreOffice/6.4.0.3$Windows_X86_64 LibreOffice_project/b0a288ab3d2d4774cb44b62f04d5d28733ac6df8</Application>
  <Pages>3</Pages>
  <Words>697</Words>
  <Characters>4361</Characters>
  <CharactersWithSpaces>5462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2024-03-01T19:21:00Z</dcterms:created>
  <dc:creator/>
  <dc:description/>
  <dc:language>pt-BR</dc:language>
  <cp:lastModifiedBy>Bruno Otavio Soares Teixeira</cp:lastModifiedBy>
  <dcterms:modified xsi:type="dcterms:W3CDTF">2024-06-05T14:49:00Z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