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notes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lang w:val="pt-BR"/>
        </w:rPr>
        <w:t>REGULAMENTO DO CURSO DE GRADUAÇÃO EM ______________________</w:t>
      </w:r>
    </w:p>
    <w:p>
      <w:pPr>
        <w:pStyle w:val="Normal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spacing w:before="60" w:after="0"/>
        <w:jc w:val="center"/>
        <w:rPr>
          <w:lang w:val="pt-BR"/>
        </w:rPr>
      </w:pPr>
      <w:r>
        <w:rPr>
          <w:lang w:val="pt-BR"/>
        </w:rPr>
        <w:t>TÍTULO I – DO TURNO E GRAU ACADÊMICO</w:t>
      </w:r>
    </w:p>
    <w:p>
      <w:pPr>
        <w:pStyle w:val="Normal"/>
        <w:spacing w:before="60" w:after="0"/>
        <w:jc w:val="center"/>
        <w:rPr>
          <w:lang w:val="pt-BR"/>
        </w:rPr>
      </w:pPr>
      <w:r>
        <w:rPr>
          <w:lang w:val="pt-BR"/>
        </w:rPr>
      </w:r>
    </w:p>
    <w:p>
      <w:pPr>
        <w:pStyle w:val="Normal"/>
        <w:spacing w:before="60" w:after="0"/>
        <w:jc w:val="both"/>
        <w:rPr>
          <w:lang w:val="pt-BR"/>
        </w:rPr>
      </w:pPr>
      <w:r>
        <w:rPr>
          <w:lang w:val="pt-BR"/>
        </w:rPr>
        <w:t>Art. 1</w:t>
      </w:r>
      <w:r>
        <w:rPr>
          <w:u w:val="single"/>
          <w:vertAlign w:val="superscript"/>
          <w:lang w:val="pt-BR"/>
        </w:rPr>
        <w:t>o</w:t>
      </w:r>
      <w:r>
        <w:rPr>
          <w:lang w:val="pt-BR"/>
        </w:rPr>
        <w:t xml:space="preserve"> O curso de graduação em ___________ da UFMG funcionará nos turnos ______________ e ______________.</w:t>
      </w:r>
    </w:p>
    <w:p>
      <w:pPr>
        <w:pStyle w:val="Normal"/>
        <w:spacing w:before="60" w:after="0"/>
        <w:jc w:val="both"/>
        <w:rPr/>
      </w:pPr>
      <w:r>
        <w:rPr/>
      </w:r>
    </w:p>
    <w:p>
      <w:pPr>
        <w:pStyle w:val="Normal"/>
        <w:spacing w:before="60" w:after="0"/>
        <w:jc w:val="both"/>
        <w:rPr>
          <w:color w:val="443205"/>
        </w:rPr>
      </w:pPr>
      <w:r>
        <w:rPr>
          <w:color w:val="443205"/>
          <w:lang w:val="pt-BR"/>
        </w:rPr>
        <w:t>§ 1</w:t>
      </w:r>
      <w:r>
        <w:rPr>
          <w:color w:val="443205"/>
          <w:u w:val="single"/>
          <w:vertAlign w:val="superscript"/>
          <w:lang w:val="pt-BR"/>
        </w:rPr>
        <w:t>o</w:t>
      </w:r>
      <w:r>
        <w:rPr>
          <w:color w:val="443205"/>
          <w:lang w:val="pt-BR"/>
        </w:rPr>
        <w:t xml:space="preserve"> ou Parágrafo único. </w:t>
      </w:r>
      <w:r>
        <w:rPr>
          <w:i/>
          <w:color w:val="443205"/>
          <w:lang w:val="pt-BR"/>
        </w:rPr>
        <w:t xml:space="preserve">No caso de haver previsão de oferta de atividades em outro turno de funcionamento a partir de um dado período curricular, essa informação deve estar aqui. </w:t>
      </w:r>
    </w:p>
    <w:p>
      <w:pPr>
        <w:pStyle w:val="Normal"/>
        <w:spacing w:before="60" w:after="0"/>
        <w:jc w:val="both"/>
        <w:rPr>
          <w:lang w:val="pt-BR"/>
        </w:rPr>
      </w:pPr>
      <w:r>
        <w:rPr>
          <w:color w:val="443205"/>
          <w:lang w:val="pt-BR"/>
        </w:rPr>
        <w:t>§ 2</w:t>
      </w:r>
      <w:r>
        <w:rPr>
          <w:color w:val="443205"/>
          <w:u w:val="single"/>
          <w:vertAlign w:val="superscript"/>
          <w:lang w:val="pt-BR"/>
        </w:rPr>
        <w:t>o</w:t>
      </w:r>
      <w:r>
        <w:rPr>
          <w:color w:val="443205"/>
          <w:lang w:val="pt-BR"/>
        </w:rPr>
        <w:t xml:space="preserve"> </w:t>
      </w:r>
      <w:r>
        <w:rPr>
          <w:i/>
          <w:color w:val="443205"/>
          <w:lang w:val="pt-BR"/>
        </w:rPr>
        <w:t>Este parágrafo também pode ser usado para indicar possibilidade de atividades de natureza obrigatória, realizadas fora do período letivo definido no Calendário Escolar.</w:t>
      </w:r>
    </w:p>
    <w:p>
      <w:pPr>
        <w:pStyle w:val="Normal"/>
        <w:spacing w:before="60" w:after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spacing w:before="60" w:after="0"/>
        <w:jc w:val="both"/>
        <w:rPr>
          <w:i/>
          <w:i/>
          <w:color w:val="000090"/>
          <w:lang w:val="pt-BR"/>
        </w:rPr>
      </w:pPr>
      <w:r>
        <w:rPr>
          <w:i/>
          <w:color w:val="000090"/>
          <w:lang w:val="pt-BR"/>
        </w:rPr>
        <w:t xml:space="preserve">Observação: A definição do turno do curso deve estar de acordo com os termos da Resolução CEPE 07/2023, de 26/10/2023. </w:t>
      </w:r>
    </w:p>
    <w:p>
      <w:pPr>
        <w:pStyle w:val="Normal"/>
        <w:jc w:val="both"/>
        <w:rPr>
          <w:b/>
          <w:b/>
          <w:i/>
          <w:i/>
          <w:color w:val="808080"/>
          <w:lang w:val="pt-BR"/>
        </w:rPr>
      </w:pPr>
      <w:r>
        <w:rPr>
          <w:b/>
          <w:i/>
          <w:color w:val="808080"/>
          <w:lang w:val="pt-BR"/>
        </w:rPr>
      </w:r>
    </w:p>
    <w:p>
      <w:pPr>
        <w:pStyle w:val="Normal"/>
        <w:spacing w:before="60" w:after="0"/>
        <w:jc w:val="both"/>
        <w:rPr>
          <w:lang w:val="pt-BR"/>
        </w:rPr>
      </w:pPr>
      <w:r>
        <w:rPr>
          <w:lang w:val="pt-BR"/>
        </w:rPr>
        <w:t>Art. 2</w:t>
      </w:r>
      <w:r>
        <w:rPr>
          <w:u w:val="single"/>
          <w:vertAlign w:val="superscript"/>
          <w:lang w:val="pt-BR"/>
        </w:rPr>
        <w:t>o</w:t>
      </w:r>
      <w:r>
        <w:rPr>
          <w:lang w:val="pt-BR"/>
        </w:rPr>
        <w:t xml:space="preserve"> O curso de graduação em ___________ da UFMG confere o(s) grau(s) acadêmico(s) de Bacharelado em ___________  e Licenciatura em__________, de acordo com o art.6º  das Normas Gerais de Graduação.</w:t>
      </w:r>
    </w:p>
    <w:p>
      <w:pPr>
        <w:pStyle w:val="Normal"/>
        <w:spacing w:before="60" w:after="0"/>
        <w:jc w:val="both"/>
        <w:rPr>
          <w:lang w:val="pt-BR"/>
        </w:rPr>
      </w:pPr>
      <w:r>
        <w:rPr>
          <w:lang w:val="pt-BR"/>
        </w:rPr>
        <w:t>§1º  O(s) grau(s) indicado (s) no caput do artigo, confere(m), respectivamente,  o(s) título(s) de ______________ e ________________.</w:t>
      </w:r>
    </w:p>
    <w:p>
      <w:pPr>
        <w:pStyle w:val="Normal"/>
        <w:spacing w:before="60" w:after="0"/>
        <w:jc w:val="both"/>
        <w:rPr>
          <w:i/>
          <w:i/>
          <w:color w:val="000090"/>
          <w:lang w:val="pt-BR"/>
        </w:rPr>
      </w:pPr>
      <w:r>
        <w:rPr>
          <w:i/>
          <w:color w:val="000090"/>
          <w:lang w:val="pt-BR"/>
        </w:rPr>
      </w:r>
    </w:p>
    <w:p>
      <w:pPr>
        <w:pStyle w:val="Normal"/>
        <w:spacing w:before="60" w:after="0"/>
        <w:jc w:val="both"/>
        <w:rPr>
          <w:i/>
          <w:i/>
          <w:color w:val="000090"/>
          <w:lang w:val="pt-BR"/>
        </w:rPr>
      </w:pPr>
      <w:r>
        <w:rPr>
          <w:i/>
          <w:color w:val="000090"/>
          <w:lang w:val="pt-BR"/>
        </w:rPr>
        <w:t xml:space="preserve">Observações: </w:t>
      </w:r>
    </w:p>
    <w:p>
      <w:pPr>
        <w:pStyle w:val="Normal"/>
        <w:numPr>
          <w:ilvl w:val="0"/>
          <w:numId w:val="1"/>
        </w:numPr>
        <w:spacing w:before="60" w:after="0"/>
        <w:ind w:left="284" w:hanging="284"/>
        <w:jc w:val="both"/>
        <w:rPr>
          <w:i/>
          <w:i/>
          <w:color w:val="000090"/>
          <w:lang w:val="pt-BR"/>
        </w:rPr>
      </w:pPr>
      <w:r>
        <w:rPr>
          <w:i/>
          <w:color w:val="000090"/>
          <w:lang w:val="pt-BR"/>
        </w:rPr>
        <w:t xml:space="preserve">Os possíveis graus acadêmicos são: Bacharelado, Licenciatura e Superior de Tecnologia. Assim, para os cursos de denominação Superior em Tecnologia, substituir “Bacharelado” por “Superior de Tecnologia”. </w:t>
      </w:r>
    </w:p>
    <w:p>
      <w:pPr>
        <w:pStyle w:val="Normal"/>
        <w:numPr>
          <w:ilvl w:val="0"/>
          <w:numId w:val="1"/>
        </w:numPr>
        <w:spacing w:before="60" w:after="0"/>
        <w:ind w:left="284" w:hanging="284"/>
        <w:jc w:val="both"/>
        <w:rPr>
          <w:i/>
          <w:i/>
          <w:color w:val="000090"/>
          <w:lang w:val="pt-BR"/>
        </w:rPr>
      </w:pPr>
      <w:r>
        <w:rPr>
          <w:i/>
          <w:color w:val="000090"/>
          <w:lang w:val="pt-BR"/>
        </w:rPr>
        <w:t>Os cursos que ofertarem habilitações devem fazer essa indicação no caput do artigo, bem como no §1º, ao relacionar os títulos.</w:t>
      </w:r>
    </w:p>
    <w:p>
      <w:pPr>
        <w:pStyle w:val="Normal"/>
        <w:numPr>
          <w:ilvl w:val="0"/>
          <w:numId w:val="1"/>
        </w:numPr>
        <w:spacing w:before="60" w:after="0"/>
        <w:ind w:left="284" w:hanging="284"/>
        <w:jc w:val="both"/>
        <w:rPr>
          <w:i/>
          <w:i/>
          <w:color w:val="000090"/>
          <w:lang w:val="pt-BR"/>
        </w:rPr>
      </w:pPr>
      <w:r>
        <w:rPr>
          <w:i/>
          <w:color w:val="000090"/>
          <w:lang w:val="pt-BR"/>
        </w:rPr>
        <w:t>Os títulos referentes a cada curso são definidos de acordo com Informativo Prograd 021/2016.</w:t>
      </w:r>
    </w:p>
    <w:p>
      <w:pPr>
        <w:pStyle w:val="Normal"/>
        <w:numPr>
          <w:ilvl w:val="0"/>
          <w:numId w:val="1"/>
        </w:numPr>
        <w:spacing w:before="60" w:after="0"/>
        <w:ind w:left="284" w:hanging="284"/>
        <w:jc w:val="both"/>
        <w:rPr>
          <w:i/>
          <w:i/>
          <w:color w:val="000090"/>
          <w:lang w:val="pt-BR"/>
        </w:rPr>
      </w:pPr>
      <w:r>
        <w:rPr>
          <w:i/>
          <w:color w:val="000090"/>
          <w:lang w:val="pt-BR"/>
        </w:rPr>
        <w:t>Especificar nos parágrafos acima ou no caput, a especificidade de oferta de grau por turno.</w:t>
      </w:r>
    </w:p>
    <w:p>
      <w:pPr>
        <w:pStyle w:val="Normal"/>
        <w:spacing w:before="60" w:after="0"/>
        <w:jc w:val="center"/>
        <w:rPr>
          <w:lang w:val="pt-BR"/>
        </w:rPr>
      </w:pPr>
      <w:r>
        <w:rPr>
          <w:lang w:val="pt-BR"/>
        </w:rPr>
        <w:t>TÍTULO II - DA ESTRUTURA CURRICULAR DO CURSO</w:t>
      </w:r>
    </w:p>
    <w:p>
      <w:pPr>
        <w:pStyle w:val="Normal"/>
        <w:spacing w:before="60" w:after="0"/>
        <w:jc w:val="both"/>
        <w:rPr>
          <w:i/>
          <w:i/>
          <w:color w:val="000090"/>
          <w:lang w:val="pt-BR"/>
        </w:rPr>
      </w:pPr>
      <w:r>
        <w:rPr>
          <w:i/>
          <w:color w:val="000090"/>
          <w:lang w:val="pt-BR"/>
        </w:rPr>
      </w:r>
    </w:p>
    <w:p>
      <w:pPr>
        <w:pStyle w:val="Normal"/>
        <w:spacing w:before="60" w:after="0"/>
        <w:jc w:val="center"/>
        <w:rPr>
          <w:lang w:val="pt-BR"/>
        </w:rPr>
      </w:pPr>
      <w:r>
        <w:rPr>
          <w:lang w:val="pt-BR"/>
        </w:rPr>
        <w:t>CAPÍTULO  I – DOS PERCURSOS CURRICULARES</w:t>
      </w:r>
    </w:p>
    <w:p>
      <w:pPr>
        <w:pStyle w:val="Normal"/>
        <w:spacing w:before="60" w:after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spacing w:before="60" w:after="0"/>
        <w:jc w:val="both"/>
        <w:rPr/>
      </w:pPr>
      <w:r>
        <w:rPr>
          <w:lang w:val="pt-BR"/>
        </w:rPr>
        <w:t>Art. 3</w:t>
      </w:r>
      <w:r>
        <w:rPr>
          <w:u w:val="single"/>
          <w:vertAlign w:val="superscript"/>
          <w:lang w:val="pt-BR"/>
        </w:rPr>
        <w:t>o</w:t>
      </w:r>
      <w:r>
        <w:rPr>
          <w:lang w:val="pt-BR"/>
        </w:rPr>
        <w:t xml:space="preserve"> A estrutura curricular do curso de graduação em ___________ da UFMG é constituída pelos seguintes percursos curriculares:</w:t>
      </w:r>
    </w:p>
    <w:p>
      <w:pPr>
        <w:pStyle w:val="Normal"/>
        <w:spacing w:before="60" w:after="0"/>
        <w:jc w:val="both"/>
        <w:rPr>
          <w:lang w:val="pt-BR"/>
        </w:rPr>
      </w:pPr>
      <w:r>
        <w:rPr>
          <w:lang w:val="pt-BR"/>
        </w:rPr>
        <w:t xml:space="preserve">I - </w:t>
      </w:r>
    </w:p>
    <w:p>
      <w:pPr>
        <w:pStyle w:val="Normal"/>
        <w:spacing w:before="60" w:after="0"/>
        <w:jc w:val="both"/>
        <w:rPr>
          <w:lang w:val="pt-BR"/>
        </w:rPr>
      </w:pPr>
      <w:r>
        <w:rPr>
          <w:lang w:val="pt-BR"/>
        </w:rPr>
        <w:t xml:space="preserve">II -  </w:t>
      </w:r>
    </w:p>
    <w:p>
      <w:pPr>
        <w:pStyle w:val="Normal"/>
        <w:spacing w:before="60" w:after="0"/>
        <w:jc w:val="both"/>
        <w:rPr/>
      </w:pPr>
      <w:r>
        <w:rPr>
          <w:lang w:val="pt-BR"/>
        </w:rPr>
        <w:t>§ 1</w:t>
      </w:r>
      <w:r>
        <w:rPr>
          <w:u w:val="single"/>
          <w:vertAlign w:val="superscript"/>
          <w:lang w:val="pt-BR"/>
        </w:rPr>
        <w:t>o</w:t>
      </w:r>
      <w:r>
        <w:rPr>
          <w:lang w:val="pt-BR"/>
        </w:rPr>
        <w:t xml:space="preserve"> O percurso curricular padrão é dado pelo inciso I do presente artigo.</w:t>
      </w:r>
    </w:p>
    <w:p>
      <w:pPr>
        <w:pStyle w:val="Normal"/>
        <w:spacing w:before="60" w:after="0"/>
        <w:jc w:val="both"/>
        <w:rPr>
          <w:lang w:val="pt-BR"/>
        </w:rPr>
      </w:pPr>
      <w:r>
        <w:rPr>
          <w:lang w:val="pt-BR"/>
        </w:rPr>
        <w:t>§ 2</w:t>
      </w:r>
      <w:r>
        <w:rPr>
          <w:u w:val="single"/>
          <w:vertAlign w:val="superscript"/>
          <w:lang w:val="pt-BR"/>
        </w:rPr>
        <w:t>o</w:t>
      </w:r>
      <w:r>
        <w:rPr>
          <w:lang w:val="pt-BR"/>
        </w:rPr>
        <w:t xml:space="preserve"> Os percursos curriculares dados pelos incisos ___, ____ e ____ são escolhidos por meio de processo seletivo para vagas iniciais.</w:t>
      </w:r>
    </w:p>
    <w:p>
      <w:pPr>
        <w:pStyle w:val="Normal"/>
        <w:spacing w:before="60" w:after="0"/>
        <w:jc w:val="both"/>
        <w:rPr>
          <w:i/>
          <w:i/>
          <w:color w:val="000090"/>
          <w:lang w:val="pt-BR"/>
        </w:rPr>
      </w:pPr>
      <w:r>
        <w:rPr>
          <w:i/>
          <w:color w:val="000090"/>
          <w:lang w:val="pt-BR"/>
        </w:rPr>
        <w:t>Observação: O parágrafo 2</w:t>
      </w:r>
      <w:r>
        <w:rPr>
          <w:i/>
          <w:color w:val="000090"/>
          <w:u w:val="single"/>
          <w:vertAlign w:val="superscript"/>
          <w:lang w:val="pt-BR"/>
        </w:rPr>
        <w:t>o</w:t>
      </w:r>
      <w:r>
        <w:rPr>
          <w:i/>
          <w:color w:val="000090"/>
          <w:lang w:val="pt-BR"/>
        </w:rPr>
        <w:t xml:space="preserve"> refere-se aos cursos cujo acesso às modalidades de Bacharelado e Licenciatura ou às habilitações ocorre ainda no processo seletivo para vagas iniciais.</w:t>
      </w:r>
    </w:p>
    <w:p>
      <w:pPr>
        <w:pStyle w:val="Normal"/>
        <w:spacing w:before="60" w:after="0"/>
        <w:jc w:val="both"/>
        <w:rPr/>
      </w:pPr>
      <w:r>
        <w:rPr>
          <w:lang w:val="pt-BR"/>
        </w:rPr>
        <w:t>Art. 4</w:t>
      </w:r>
      <w:r>
        <w:rPr>
          <w:u w:val="single"/>
          <w:vertAlign w:val="superscript"/>
          <w:lang w:val="pt-BR"/>
        </w:rPr>
        <w:t>o</w:t>
      </w:r>
      <w:r>
        <w:rPr>
          <w:lang w:val="pt-BR"/>
        </w:rPr>
        <w:t xml:space="preserve"> De acordo com o número de vagas estabelecido pelo Colegiado, é permitida ao(à) estudante a escolha de seu percurso curricular, ressalvando os percursos curriculares relacionados ao processo seletivo de vagas iniciais conforme o §2</w:t>
      </w:r>
      <w:r>
        <w:rPr>
          <w:u w:val="single"/>
          <w:vertAlign w:val="superscript"/>
          <w:lang w:val="pt-BR"/>
        </w:rPr>
        <w:t>o</w:t>
      </w:r>
      <w:r>
        <w:rPr>
          <w:lang w:val="pt-BR"/>
        </w:rPr>
        <w:t xml:space="preserve"> do art. 3</w:t>
      </w:r>
      <w:r>
        <w:rPr>
          <w:u w:val="single"/>
          <w:vertAlign w:val="superscript"/>
          <w:lang w:val="pt-BR"/>
        </w:rPr>
        <w:t>o</w:t>
      </w:r>
      <w:r>
        <w:rPr>
          <w:lang w:val="pt-BR"/>
        </w:rPr>
        <w:t>, até o final do ________ período letivo, considerando os seguintes critérios:</w:t>
      </w:r>
    </w:p>
    <w:p>
      <w:pPr>
        <w:pStyle w:val="Normal"/>
        <w:spacing w:before="60" w:after="0"/>
        <w:jc w:val="both"/>
        <w:rPr>
          <w:lang w:val="pt-BR"/>
        </w:rPr>
      </w:pPr>
      <w:r>
        <w:rPr>
          <w:lang w:val="pt-BR"/>
        </w:rPr>
        <w:t xml:space="preserve">I - </w:t>
      </w:r>
    </w:p>
    <w:p>
      <w:pPr>
        <w:pStyle w:val="Normal"/>
        <w:spacing w:before="60" w:after="0"/>
        <w:jc w:val="both"/>
        <w:rPr>
          <w:lang w:val="pt-BR"/>
        </w:rPr>
      </w:pPr>
      <w:r>
        <w:rPr>
          <w:lang w:val="pt-BR"/>
        </w:rPr>
        <w:t xml:space="preserve">II - </w:t>
      </w:r>
    </w:p>
    <w:p>
      <w:pPr>
        <w:pStyle w:val="Normal"/>
        <w:spacing w:before="60" w:after="0"/>
        <w:jc w:val="both"/>
        <w:rPr>
          <w:lang w:val="pt-BR"/>
        </w:rPr>
      </w:pPr>
      <w:r>
        <w:rPr>
          <w:lang w:val="pt-BR"/>
        </w:rPr>
        <w:t>§ 1</w:t>
      </w:r>
      <w:r>
        <w:rPr>
          <w:u w:val="single"/>
          <w:vertAlign w:val="superscript"/>
          <w:lang w:val="pt-BR"/>
        </w:rPr>
        <w:t>o</w:t>
      </w:r>
      <w:r>
        <w:rPr>
          <w:lang w:val="pt-BR"/>
        </w:rPr>
        <w:t xml:space="preserve"> No caso de o percurso escolhido prever um núcleo complementar, o estudante deverá: a) apresentar, anexo ao pedido de mudança de percurso curricular, as informações sobre a estrutura formativa de formação complementar que será realizada, quando a decisão for por cursar uma das formações complementares ofertadas pela Instituição; ou b) apresentar, anexo ao pedido de mudança de percurso, um plano de estudos com a proposição de uma formação complementar, quando a decisão for por realizar uma formação do tipo aberta.</w:t>
      </w:r>
    </w:p>
    <w:p>
      <w:pPr>
        <w:pStyle w:val="Normal"/>
        <w:spacing w:before="60" w:after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spacing w:before="60" w:after="0"/>
        <w:jc w:val="both"/>
        <w:rPr>
          <w:i/>
          <w:i/>
          <w:color w:val="000090"/>
          <w:lang w:val="pt-BR"/>
        </w:rPr>
      </w:pPr>
      <w:r>
        <w:rPr>
          <w:i/>
          <w:color w:val="000090"/>
          <w:lang w:val="pt-BR"/>
        </w:rPr>
        <w:t>Observação: A negociação de vagas com os Departamentos Acadêmicos para o estudante realizar atividades acadêmicas curriculares, visando à integralização da formação complementar, do tipo aberta, fica sob a responsabilidade da Coordenação do Colegiado do Curso.</w:t>
      </w:r>
    </w:p>
    <w:p>
      <w:pPr>
        <w:pStyle w:val="Normal"/>
        <w:spacing w:before="60" w:after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spacing w:before="60" w:after="0"/>
        <w:jc w:val="both"/>
        <w:rPr>
          <w:lang w:val="pt-BR"/>
        </w:rPr>
      </w:pPr>
      <w:r>
        <w:rPr>
          <w:lang w:val="pt-BR"/>
        </w:rPr>
        <w:t>§ 2</w:t>
      </w:r>
      <w:r>
        <w:rPr>
          <w:u w:val="single"/>
          <w:vertAlign w:val="superscript"/>
          <w:lang w:val="pt-BR"/>
        </w:rPr>
        <w:t>o</w:t>
      </w:r>
      <w:r>
        <w:rPr>
          <w:lang w:val="pt-BR"/>
        </w:rPr>
        <w:t xml:space="preserve"> No caso de o percurso escolhido prever um núcleo avançado, devem ser observados os seguintes critérios além daqueles listados no § 1</w:t>
      </w:r>
      <w:r>
        <w:rPr>
          <w:u w:val="single"/>
          <w:vertAlign w:val="superscript"/>
          <w:lang w:val="pt-BR"/>
        </w:rPr>
        <w:t>o</w:t>
      </w:r>
      <w:r>
        <w:rPr>
          <w:lang w:val="pt-BR"/>
        </w:rPr>
        <w:t xml:space="preserve">:    </w:t>
      </w:r>
    </w:p>
    <w:p>
      <w:pPr>
        <w:pStyle w:val="Normal"/>
        <w:spacing w:before="60" w:after="0"/>
        <w:jc w:val="both"/>
        <w:rPr>
          <w:lang w:val="pt-BR"/>
        </w:rPr>
      </w:pPr>
      <w:r>
        <w:rPr>
          <w:lang w:val="pt-BR"/>
        </w:rPr>
        <w:t xml:space="preserve">I - </w:t>
      </w:r>
    </w:p>
    <w:p>
      <w:pPr>
        <w:pStyle w:val="Normal"/>
        <w:spacing w:before="60" w:after="0"/>
        <w:jc w:val="both"/>
        <w:rPr>
          <w:lang w:val="pt-BR"/>
        </w:rPr>
      </w:pPr>
      <w:r>
        <w:rPr>
          <w:lang w:val="pt-BR"/>
        </w:rPr>
        <w:t xml:space="preserve">II - </w:t>
      </w:r>
    </w:p>
    <w:p>
      <w:pPr>
        <w:pStyle w:val="Normal"/>
        <w:spacing w:before="60" w:after="0"/>
        <w:jc w:val="both"/>
        <w:rPr/>
      </w:pPr>
      <w:r>
        <w:rPr>
          <w:lang w:val="pt-BR"/>
        </w:rPr>
        <w:t>Art. 5</w:t>
      </w:r>
      <w:r>
        <w:rPr>
          <w:u w:val="single"/>
          <w:vertAlign w:val="superscript"/>
          <w:lang w:val="pt-BR"/>
        </w:rPr>
        <w:t>o</w:t>
      </w:r>
      <w:r>
        <w:rPr>
          <w:lang w:val="pt-BR"/>
        </w:rPr>
        <w:t xml:space="preserve"> A mudança de percurso curricular poderá ser realizada até o final do ______ período letivo desde que observados os seguintes critérios, além daqueles listados do caput do Artigo 4</w:t>
      </w:r>
      <w:r>
        <w:rPr>
          <w:u w:val="single"/>
          <w:vertAlign w:val="superscript"/>
          <w:lang w:val="pt-BR"/>
        </w:rPr>
        <w:t>o</w:t>
      </w:r>
      <w:r>
        <w:rPr>
          <w:lang w:val="pt-BR"/>
        </w:rPr>
        <w:t>:</w:t>
      </w:r>
    </w:p>
    <w:p>
      <w:pPr>
        <w:pStyle w:val="Normal"/>
        <w:spacing w:before="60" w:after="0"/>
        <w:jc w:val="both"/>
        <w:rPr>
          <w:lang w:val="pt-BR"/>
        </w:rPr>
      </w:pPr>
      <w:r>
        <w:rPr>
          <w:lang w:val="pt-BR"/>
        </w:rPr>
        <w:t>I -</w:t>
      </w:r>
    </w:p>
    <w:p>
      <w:pPr>
        <w:pStyle w:val="Normal"/>
        <w:spacing w:before="60" w:after="0"/>
        <w:jc w:val="both"/>
        <w:rPr>
          <w:lang w:val="pt-BR"/>
        </w:rPr>
      </w:pPr>
      <w:r>
        <w:rPr>
          <w:lang w:val="pt-BR"/>
        </w:rPr>
        <w:t xml:space="preserve">II - </w:t>
      </w:r>
    </w:p>
    <w:p>
      <w:pPr>
        <w:pStyle w:val="Normal"/>
        <w:spacing w:before="60" w:after="0"/>
        <w:jc w:val="both"/>
        <w:rPr>
          <w:lang w:val="pt-BR"/>
        </w:rPr>
      </w:pPr>
      <w:r>
        <w:rPr>
          <w:lang w:val="pt-BR"/>
        </w:rPr>
        <w:t>Parágrafo único. No caso de percurso que preveja núcleo complementar, a mudança de estrutura formativa de formação complementar ou de formação complementar do tipo aberta poderá ser feita até final do ____ período letivo.</w:t>
      </w:r>
    </w:p>
    <w:p>
      <w:pPr>
        <w:pStyle w:val="Normal"/>
        <w:spacing w:before="60" w:after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spacing w:before="60" w:after="0"/>
        <w:jc w:val="center"/>
        <w:rPr>
          <w:lang w:val="pt-BR"/>
        </w:rPr>
      </w:pPr>
      <w:r>
        <w:rPr>
          <w:lang w:val="pt-BR"/>
        </w:rPr>
        <w:t>CAPÍTULO  II – DO ESTÁGIO CURRICULAR, TRABALHO FINAL DE CURSO E INTEGRALIZAÇÃO DAS ATIVIDADES COMPLEMENTARES</w:t>
      </w:r>
    </w:p>
    <w:p>
      <w:pPr>
        <w:pStyle w:val="Normal"/>
        <w:spacing w:before="60" w:after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spacing w:before="60" w:after="0"/>
        <w:jc w:val="both"/>
        <w:rPr>
          <w:lang w:val="pt-BR"/>
        </w:rPr>
      </w:pPr>
      <w:r>
        <w:rPr>
          <w:lang w:val="pt-BR"/>
        </w:rPr>
        <w:t>Art. 6</w:t>
      </w:r>
      <w:r>
        <w:rPr>
          <w:u w:val="single"/>
          <w:vertAlign w:val="superscript"/>
          <w:lang w:val="pt-BR"/>
        </w:rPr>
        <w:t>o</w:t>
      </w:r>
      <w:r>
        <w:rPr>
          <w:lang w:val="pt-BR"/>
        </w:rPr>
        <w:t xml:space="preserve"> Observadas as determinações da Lei </w:t>
      </w:r>
      <w:r>
        <w:rPr>
          <w:rStyle w:val="Ncoradanotaderodap"/>
          <w:lang w:val="pt-BR"/>
        </w:rPr>
        <w:footnoteReference w:id="2"/>
      </w:r>
      <w:r>
        <w:rPr>
          <w:lang w:val="pt-BR"/>
        </w:rPr>
        <w:t>que regulamenta o estágio de estudante e a Resolução</w:t>
      </w:r>
      <w:r>
        <w:rPr>
          <w:rStyle w:val="Ncoradanotaderodap"/>
          <w:lang w:val="pt-BR"/>
        </w:rPr>
        <w:footnoteReference w:id="3"/>
      </w:r>
      <w:r>
        <w:rPr>
          <w:lang w:val="pt-BR"/>
        </w:rPr>
        <w:t xml:space="preserve"> do Conselho de Ensino, Pesquisa e Extensão da UFMG que trata a matéria, o estágio curricular do curso de graduação _________________________, deve considerar as seguintes regras adicionais para a sua realização:</w:t>
      </w:r>
    </w:p>
    <w:p>
      <w:pPr>
        <w:pStyle w:val="Normal"/>
        <w:spacing w:before="60" w:after="0"/>
        <w:jc w:val="both"/>
        <w:rPr>
          <w:lang w:val="pt-BR"/>
        </w:rPr>
      </w:pPr>
      <w:r>
        <w:rPr>
          <w:lang w:val="pt-BR"/>
        </w:rPr>
        <w:t>I -</w:t>
      </w:r>
    </w:p>
    <w:p>
      <w:pPr>
        <w:pStyle w:val="Normal"/>
        <w:spacing w:before="60" w:after="0"/>
        <w:jc w:val="both"/>
        <w:rPr>
          <w:lang w:val="pt-BR"/>
        </w:rPr>
      </w:pPr>
      <w:r>
        <w:rPr>
          <w:lang w:val="pt-BR"/>
        </w:rPr>
        <w:t>II -</w:t>
      </w:r>
    </w:p>
    <w:p>
      <w:pPr>
        <w:pStyle w:val="Normal"/>
        <w:spacing w:before="60" w:after="0"/>
        <w:jc w:val="both"/>
        <w:rPr>
          <w:i/>
          <w:i/>
          <w:color w:val="000090"/>
          <w:lang w:val="pt-BR"/>
        </w:rPr>
      </w:pPr>
      <w:r>
        <w:rPr>
          <w:i/>
          <w:color w:val="000090"/>
          <w:lang w:val="pt-BR"/>
        </w:rPr>
        <w:t xml:space="preserve">Observação: Quando a decisão do curso for por </w:t>
      </w:r>
      <w:r>
        <w:rPr>
          <w:i/>
          <w:color w:val="000090"/>
          <w:u w:val="single"/>
          <w:lang w:val="pt-BR"/>
        </w:rPr>
        <w:t>não</w:t>
      </w:r>
      <w:r>
        <w:rPr>
          <w:i/>
          <w:color w:val="000090"/>
          <w:lang w:val="pt-BR"/>
        </w:rPr>
        <w:t xml:space="preserve"> fixar regras adicionais para a realização do estágio, pode ser adotada a seguinte redação: Art. XXX  A realização do estágio curricular (obrigatório ou optativo) do curso de graduação em _________________ observa as determinações da Lei N.11.788, de 25/09/2008, que regulamenta o estágio de estudante, bem com a Resolução CEPE XXX.  </w:t>
      </w:r>
    </w:p>
    <w:p>
      <w:pPr>
        <w:pStyle w:val="Normal"/>
        <w:spacing w:before="60" w:after="0"/>
        <w:jc w:val="both"/>
        <w:rPr/>
      </w:pPr>
      <w:r>
        <w:rPr/>
      </w:r>
    </w:p>
    <w:p>
      <w:pPr>
        <w:pStyle w:val="Normal"/>
        <w:spacing w:before="60" w:after="0"/>
        <w:jc w:val="both"/>
        <w:rPr/>
      </w:pPr>
      <w:r>
        <w:rPr/>
        <w:t>Art. 7</w:t>
      </w:r>
      <w:r>
        <w:rPr>
          <w:u w:val="single"/>
          <w:vertAlign w:val="superscript"/>
          <w:lang w:val="pt-BR"/>
        </w:rPr>
        <w:t>o</w:t>
      </w:r>
      <w:r>
        <w:rPr/>
        <w:t xml:space="preserve"> O Trabalho de Conclusão de Curso, conforme registra o Projeto Pedagógico do Curso,  constitui atividade acadêmica curricular obrigatória (ou optativa) para o estudante do curso de graduação _____________.  A sua realização deve observar as seguintes regras:</w:t>
      </w:r>
    </w:p>
    <w:p>
      <w:pPr>
        <w:pStyle w:val="Normal"/>
        <w:spacing w:before="60" w:after="0"/>
        <w:jc w:val="both"/>
        <w:rPr>
          <w:lang w:val="pt-BR"/>
        </w:rPr>
      </w:pPr>
      <w:r>
        <w:rPr>
          <w:lang w:val="pt-BR"/>
        </w:rPr>
        <w:t>I -</w:t>
      </w:r>
    </w:p>
    <w:p>
      <w:pPr>
        <w:pStyle w:val="Normal"/>
        <w:spacing w:before="60" w:after="0"/>
        <w:jc w:val="both"/>
        <w:rPr>
          <w:lang w:val="pt-BR"/>
        </w:rPr>
      </w:pPr>
      <w:r>
        <w:rPr>
          <w:lang w:val="pt-BR"/>
        </w:rPr>
        <w:t>II -</w:t>
      </w:r>
    </w:p>
    <w:p>
      <w:pPr>
        <w:pStyle w:val="Normal"/>
        <w:spacing w:before="60" w:after="0"/>
        <w:jc w:val="both"/>
        <w:rPr/>
      </w:pPr>
      <w:r>
        <w:rPr>
          <w:lang w:val="pt-BR"/>
        </w:rPr>
        <w:t>Art. 8</w:t>
      </w:r>
      <w:r>
        <w:rPr>
          <w:u w:val="single"/>
          <w:vertAlign w:val="superscript"/>
          <w:lang w:val="pt-BR"/>
        </w:rPr>
        <w:t>o</w:t>
      </w:r>
      <w:r>
        <w:rPr/>
        <w:t xml:space="preserve"> A integralização das atividades complementares previstas no Projeto Pedagógico do Curso deve observar os seguintes critérios:</w:t>
      </w:r>
    </w:p>
    <w:p>
      <w:pPr>
        <w:pStyle w:val="Normal"/>
        <w:spacing w:before="60" w:after="0"/>
        <w:jc w:val="both"/>
        <w:rPr>
          <w:lang w:val="pt-BR"/>
        </w:rPr>
      </w:pPr>
      <w:r>
        <w:rPr>
          <w:lang w:val="pt-BR"/>
        </w:rPr>
        <w:t>I -</w:t>
      </w:r>
    </w:p>
    <w:p>
      <w:pPr>
        <w:pStyle w:val="Normal"/>
        <w:spacing w:before="60" w:after="0"/>
        <w:jc w:val="both"/>
        <w:rPr>
          <w:lang w:val="pt-BR"/>
        </w:rPr>
      </w:pPr>
      <w:r>
        <w:rPr>
          <w:lang w:val="pt-BR"/>
        </w:rPr>
        <w:t>II -</w:t>
      </w:r>
    </w:p>
    <w:p>
      <w:pPr>
        <w:pStyle w:val="Normal"/>
        <w:jc w:val="both"/>
        <w:rPr>
          <w:i/>
          <w:i/>
          <w:color w:val="000090"/>
          <w:lang w:val="pt-BR"/>
        </w:rPr>
      </w:pPr>
      <w:r>
        <w:rPr>
          <w:i/>
          <w:color w:val="000090"/>
          <w:lang w:val="pt-BR"/>
        </w:rPr>
        <w:t>Observação: Neste item devem ser discriminados os critérios que, via de regra, já se encontram definidos em Resolução do Colegiado, para a integralização de cada tipo de atividade complementar do curso (ex. iniciação científica, cursos de extensão, monitoria, publicações, etc), prevista no Projeto Pedagógico e, consequentemente, registrada na matriz curricular do curso. A proposta é que o Regulamento substitua a Resolução do Colegiado.</w:t>
      </w:r>
    </w:p>
    <w:p>
      <w:pPr>
        <w:pStyle w:val="Normal"/>
        <w:jc w:val="both"/>
        <w:rPr>
          <w:i/>
          <w:i/>
          <w:color w:val="000090"/>
          <w:lang w:val="pt-BR"/>
        </w:rPr>
      </w:pPr>
      <w:r>
        <w:rPr>
          <w:i/>
          <w:color w:val="000090"/>
          <w:lang w:val="pt-BR"/>
        </w:rPr>
      </w:r>
    </w:p>
    <w:p>
      <w:pPr>
        <w:pStyle w:val="Normal"/>
        <w:spacing w:before="60" w:after="0"/>
        <w:jc w:val="center"/>
        <w:rPr>
          <w:lang w:val="pt-BR"/>
        </w:rPr>
      </w:pPr>
      <w:r>
        <w:rPr>
          <w:lang w:val="pt-BR"/>
        </w:rPr>
        <w:t>TÍTULO III – DA GESTÃO DO CURSO</w:t>
      </w:r>
    </w:p>
    <w:p>
      <w:pPr>
        <w:pStyle w:val="Normal"/>
        <w:jc w:val="both"/>
        <w:rPr>
          <w:i/>
          <w:i/>
          <w:color w:val="000090"/>
          <w:lang w:val="pt-BR"/>
        </w:rPr>
      </w:pPr>
      <w:r>
        <w:rPr>
          <w:i/>
          <w:color w:val="000090"/>
          <w:lang w:val="pt-BR"/>
        </w:rPr>
      </w:r>
    </w:p>
    <w:p>
      <w:pPr>
        <w:pStyle w:val="Normal"/>
        <w:jc w:val="both"/>
        <w:rPr/>
      </w:pPr>
      <w:r>
        <w:rPr>
          <w:i/>
          <w:color w:val="000090"/>
          <w:lang w:val="pt-BR"/>
        </w:rPr>
        <w:t xml:space="preserve">Observação: Considerar o disposto no art. 54 das NGG. </w:t>
      </w:r>
    </w:p>
    <w:p>
      <w:pPr>
        <w:pStyle w:val="Normal"/>
        <w:spacing w:before="60" w:after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spacing w:before="60" w:after="0"/>
        <w:jc w:val="both"/>
        <w:rPr>
          <w:lang w:val="pt-BR"/>
        </w:rPr>
      </w:pPr>
      <w:r>
        <w:rPr>
          <w:lang w:val="pt-BR"/>
        </w:rPr>
        <w:t>Art. 9</w:t>
      </w:r>
      <w:r>
        <w:rPr>
          <w:u w:val="single"/>
          <w:vertAlign w:val="superscript"/>
          <w:lang w:val="pt-BR"/>
        </w:rPr>
        <w:t>o</w:t>
      </w:r>
      <w:r>
        <w:rPr>
          <w:lang w:val="pt-BR"/>
        </w:rPr>
        <w:t xml:space="preserve"> O Colegiado do curso de graduação em _____ terá a seguinte composição:</w:t>
      </w:r>
    </w:p>
    <w:p>
      <w:pPr>
        <w:pStyle w:val="Normal"/>
        <w:spacing w:before="60" w:after="0"/>
        <w:jc w:val="both"/>
        <w:rPr>
          <w:lang w:val="pt-BR"/>
        </w:rPr>
      </w:pPr>
      <w:r>
        <w:rPr>
          <w:lang w:val="pt-BR"/>
        </w:rPr>
        <w:t>I - Coordenador;</w:t>
      </w:r>
    </w:p>
    <w:p>
      <w:pPr>
        <w:pStyle w:val="Normal"/>
        <w:spacing w:before="60" w:after="0"/>
        <w:jc w:val="both"/>
        <w:rPr>
          <w:lang w:val="pt-BR"/>
        </w:rPr>
      </w:pPr>
      <w:r>
        <w:rPr>
          <w:lang w:val="pt-BR"/>
        </w:rPr>
        <w:t>II - Subcoordenador;</w:t>
      </w:r>
    </w:p>
    <w:p>
      <w:pPr>
        <w:pStyle w:val="Normal"/>
        <w:spacing w:before="60" w:after="0"/>
        <w:jc w:val="both"/>
        <w:rPr/>
      </w:pPr>
      <w:r>
        <w:rPr>
          <w:lang w:val="pt-BR"/>
        </w:rPr>
        <w:t>III - 0__ (</w:t>
      </w:r>
      <w:r>
        <w:rPr>
          <w:i/>
          <w:color w:val="404040"/>
          <w:lang w:val="pt-BR"/>
        </w:rPr>
        <w:t>por extenso</w:t>
      </w:r>
      <w:r>
        <w:rPr>
          <w:lang w:val="pt-BR"/>
        </w:rPr>
        <w:t>) docentes do Departamento de ________________;</w:t>
      </w:r>
    </w:p>
    <w:p>
      <w:pPr>
        <w:pStyle w:val="Normal"/>
        <w:spacing w:before="60" w:after="0"/>
        <w:jc w:val="both"/>
        <w:rPr/>
      </w:pPr>
      <w:r>
        <w:rPr>
          <w:lang w:val="pt-BR"/>
        </w:rPr>
        <w:t>IV - 0__ (</w:t>
      </w:r>
      <w:r>
        <w:rPr>
          <w:i/>
          <w:color w:val="404040"/>
          <w:lang w:val="pt-BR"/>
        </w:rPr>
        <w:t>por extenso</w:t>
      </w:r>
      <w:r>
        <w:rPr>
          <w:lang w:val="pt-BR"/>
        </w:rPr>
        <w:t>) docentes do Departamento de ________________;</w:t>
      </w:r>
    </w:p>
    <w:p>
      <w:pPr>
        <w:pStyle w:val="Normal"/>
        <w:spacing w:before="60" w:after="0"/>
        <w:jc w:val="both"/>
        <w:rPr/>
      </w:pPr>
      <w:r>
        <w:rPr>
          <w:lang w:val="pt-BR"/>
        </w:rPr>
        <w:t>V - 0__ (</w:t>
      </w:r>
      <w:r>
        <w:rPr>
          <w:i/>
          <w:color w:val="404040"/>
          <w:lang w:val="pt-BR"/>
        </w:rPr>
        <w:t>por extenso</w:t>
      </w:r>
      <w:r>
        <w:rPr>
          <w:lang w:val="pt-BR"/>
        </w:rPr>
        <w:t>) docentes do Departamento de ________________;</w:t>
      </w:r>
    </w:p>
    <w:p>
      <w:pPr>
        <w:pStyle w:val="Normal"/>
        <w:spacing w:before="60" w:after="0"/>
        <w:jc w:val="both"/>
        <w:rPr>
          <w:lang w:val="pt-BR"/>
        </w:rPr>
      </w:pPr>
      <w:r>
        <w:rPr>
          <w:lang w:val="pt-BR"/>
        </w:rPr>
        <w:t>VI - 0__ (</w:t>
      </w:r>
      <w:r>
        <w:rPr>
          <w:i/>
          <w:color w:val="404040"/>
          <w:lang w:val="pt-BR"/>
        </w:rPr>
        <w:t>por extenso</w:t>
      </w:r>
      <w:r>
        <w:rPr>
          <w:lang w:val="pt-BR"/>
        </w:rPr>
        <w:t>) docentes indicados pela Congregação da _____________;</w:t>
      </w:r>
    </w:p>
    <w:p>
      <w:pPr>
        <w:pStyle w:val="Normal"/>
        <w:spacing w:before="60" w:after="0"/>
        <w:jc w:val="both"/>
        <w:rPr/>
      </w:pPr>
      <w:r>
        <w:rPr>
          <w:lang w:val="pt-BR"/>
        </w:rPr>
        <w:t>VII - representação discente, na forma prevista no Estatuto (Art. 78) e no Regimento Geral da UFMG (Art. 101, §§ 1</w:t>
      </w:r>
      <w:r>
        <w:rPr>
          <w:u w:val="single"/>
          <w:vertAlign w:val="superscript"/>
          <w:lang w:val="pt-BR"/>
        </w:rPr>
        <w:t>o</w:t>
      </w:r>
      <w:r>
        <w:rPr>
          <w:lang w:val="pt-BR"/>
        </w:rPr>
        <w:t xml:space="preserve"> ao 5</w:t>
      </w:r>
      <w:r>
        <w:rPr>
          <w:u w:val="single"/>
          <w:vertAlign w:val="superscript"/>
          <w:lang w:val="pt-BR"/>
        </w:rPr>
        <w:t>o</w:t>
      </w:r>
      <w:r>
        <w:rPr>
          <w:lang w:val="pt-BR"/>
        </w:rPr>
        <w:t>).</w:t>
      </w:r>
    </w:p>
    <w:p>
      <w:pPr>
        <w:pStyle w:val="Normal"/>
        <w:spacing w:before="60" w:after="0"/>
        <w:jc w:val="both"/>
        <w:rPr>
          <w:lang w:val="pt-BR"/>
        </w:rPr>
      </w:pPr>
      <w:r>
        <w:rPr>
          <w:lang w:val="pt-BR"/>
        </w:rPr>
        <w:t>§1</w:t>
      </w:r>
      <w:r>
        <w:rPr>
          <w:u w:val="single"/>
          <w:vertAlign w:val="superscript"/>
          <w:lang w:val="pt-BR"/>
        </w:rPr>
        <w:t>o</w:t>
      </w:r>
      <w:r>
        <w:rPr>
          <w:lang w:val="pt-BR"/>
        </w:rPr>
        <w:t xml:space="preserve"> Os docentes previstos nos incisos III, IV e V deste artigo serão indicados, juntamente com os respectivos suplentes, pelas Câmaras Departamentais pertinentes, para cumprimento de mandato vinculado de 02 (dois) anos, permitida a recondução.</w:t>
      </w:r>
    </w:p>
    <w:p>
      <w:pPr>
        <w:pStyle w:val="Normal"/>
        <w:spacing w:before="60" w:after="0"/>
        <w:jc w:val="both"/>
        <w:rPr>
          <w:lang w:val="pt-BR"/>
        </w:rPr>
      </w:pPr>
      <w:r>
        <w:rPr>
          <w:lang w:val="pt-BR"/>
        </w:rPr>
        <w:t>§ 2</w:t>
      </w:r>
      <w:r>
        <w:rPr>
          <w:u w:val="single"/>
          <w:vertAlign w:val="superscript"/>
          <w:lang w:val="pt-BR"/>
        </w:rPr>
        <w:t>o</w:t>
      </w:r>
      <w:r>
        <w:rPr>
          <w:lang w:val="pt-BR"/>
        </w:rPr>
        <w:t xml:space="preserve"> Os docentes previstos no inciso VI deste artigo serão indicados, juntamente com os respectivos suplentes, para cumprimento de mandato vinculado de 02 (dois) anos, permitida a recondução.</w:t>
      </w:r>
    </w:p>
    <w:p>
      <w:pPr>
        <w:pStyle w:val="Normal"/>
        <w:spacing w:before="60" w:after="0"/>
        <w:jc w:val="both"/>
        <w:rPr>
          <w:lang w:val="pt-BR"/>
        </w:rPr>
      </w:pPr>
      <w:r>
        <w:rPr>
          <w:lang w:val="pt-BR"/>
        </w:rPr>
        <w:t>§ 3</w:t>
      </w:r>
      <w:r>
        <w:rPr>
          <w:u w:val="single"/>
          <w:vertAlign w:val="superscript"/>
          <w:lang w:val="pt-BR"/>
        </w:rPr>
        <w:t>o</w:t>
      </w:r>
      <w:r>
        <w:rPr>
          <w:lang w:val="pt-BR"/>
        </w:rPr>
        <w:t xml:space="preserve"> Quando o cálculo da representação discente resultar em fração, o número de representantes será o inteiro imediatamente superior, desde que esse número não ultrapasse 1/5 (um quinto) do total dos membros do órgão, já acrescido da representação.</w:t>
      </w:r>
    </w:p>
    <w:p>
      <w:pPr>
        <w:pStyle w:val="Normal"/>
        <w:spacing w:before="60" w:after="0"/>
        <w:jc w:val="both"/>
        <w:rPr/>
      </w:pPr>
      <w:r>
        <w:rPr>
          <w:lang w:val="pt-BR"/>
        </w:rPr>
        <w:t>§ 4</w:t>
      </w:r>
      <w:r>
        <w:rPr>
          <w:u w:val="single"/>
          <w:vertAlign w:val="superscript"/>
          <w:lang w:val="pt-BR"/>
        </w:rPr>
        <w:t>o</w:t>
      </w:r>
      <w:r>
        <w:rPr>
          <w:lang w:val="pt-BR"/>
        </w:rPr>
        <w:t xml:space="preserve"> A escolha do Coordenador ou do Subcoordenador, quando recair sobre os membros do Colegiado, implicará na indicação de nova representação para recompô-lo.</w:t>
      </w:r>
    </w:p>
    <w:p>
      <w:pPr>
        <w:pStyle w:val="Normal"/>
        <w:spacing w:before="60" w:after="0"/>
        <w:jc w:val="both"/>
        <w:rPr>
          <w:i/>
          <w:i/>
          <w:color w:val="000090"/>
          <w:lang w:val="pt-BR"/>
        </w:rPr>
      </w:pPr>
      <w:r>
        <w:rPr>
          <w:i/>
          <w:color w:val="000090"/>
          <w:lang w:val="pt-BR"/>
        </w:rPr>
        <w:t>Observação: Quando couber (caso das Unidades Acadêmicas FALE e ICA), o termo Departamento deverá ser substituído por “estrutura equivalente”.</w:t>
      </w:r>
    </w:p>
    <w:p>
      <w:pPr>
        <w:pStyle w:val="Normal"/>
        <w:spacing w:before="60" w:after="0"/>
        <w:jc w:val="both"/>
        <w:rPr>
          <w:i/>
          <w:i/>
          <w:color w:val="808080"/>
          <w:lang w:val="pt-BR"/>
        </w:rPr>
      </w:pPr>
      <w:r>
        <w:rPr>
          <w:i/>
          <w:color w:val="808080"/>
          <w:lang w:val="pt-BR"/>
        </w:rPr>
      </w:r>
    </w:p>
    <w:p>
      <w:pPr>
        <w:pStyle w:val="Normal"/>
        <w:spacing w:before="60" w:after="0"/>
        <w:jc w:val="both"/>
        <w:rPr/>
      </w:pPr>
      <w:r>
        <w:rPr>
          <w:lang w:val="pt-BR"/>
        </w:rPr>
        <w:t xml:space="preserve">Art. 10 Até a eleição do primeiro Coordenador e do primeiro Subcoordenador do Colegiado, essas funções serão desempenhadas por Coordenador e Subcoordenador </w:t>
      </w:r>
      <w:r>
        <w:rPr>
          <w:i/>
          <w:lang w:val="pt-BR"/>
        </w:rPr>
        <w:t>pro tempore</w:t>
      </w:r>
      <w:r>
        <w:rPr>
          <w:lang w:val="pt-BR"/>
        </w:rPr>
        <w:t>, indicados pela Diretoria da ___________________.</w:t>
      </w:r>
    </w:p>
    <w:p>
      <w:pPr>
        <w:pStyle w:val="Normal"/>
        <w:spacing w:before="60" w:after="0"/>
        <w:jc w:val="both"/>
        <w:rPr>
          <w:i/>
          <w:i/>
          <w:color w:val="000090"/>
          <w:lang w:val="pt-BR"/>
        </w:rPr>
      </w:pPr>
      <w:r>
        <w:rPr>
          <w:i/>
          <w:color w:val="000090"/>
          <w:lang w:val="pt-BR"/>
        </w:rPr>
        <w:t xml:space="preserve">Observação: Este artigo é relevante para cursos novos.  </w:t>
      </w:r>
    </w:p>
    <w:p>
      <w:pPr>
        <w:pStyle w:val="Normal"/>
        <w:spacing w:before="60" w:after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spacing w:before="60" w:after="0"/>
        <w:jc w:val="both"/>
        <w:rPr/>
      </w:pPr>
      <w:r>
        <w:rPr>
          <w:lang w:val="pt-BR"/>
        </w:rPr>
        <w:t>Art. 11 Observadas as disposições da Resolução</w:t>
      </w:r>
      <w:r>
        <w:rPr>
          <w:rStyle w:val="Ncoradanotaderodap"/>
          <w:lang w:val="pt-BR"/>
        </w:rPr>
        <w:footnoteReference w:id="4"/>
      </w:r>
      <w:r>
        <w:rPr>
          <w:lang w:val="pt-BR"/>
        </w:rPr>
        <w:t xml:space="preserve"> do Conselho de Ensino, Pesquisa e Extensão que trata da composição e das atribuições do Núcleo Docente Estruturante (NDE), o NDE do curso de graduação em _____ terá a seguinte composição:</w:t>
      </w:r>
    </w:p>
    <w:p>
      <w:pPr>
        <w:pStyle w:val="Normal"/>
        <w:spacing w:before="60" w:after="0"/>
        <w:jc w:val="both"/>
        <w:rPr>
          <w:lang w:val="pt-BR"/>
        </w:rPr>
      </w:pPr>
      <w:r>
        <w:rPr>
          <w:lang w:val="pt-BR"/>
        </w:rPr>
        <w:t>I - Coordenador do Colegiado (membro nato);</w:t>
      </w:r>
    </w:p>
    <w:p>
      <w:pPr>
        <w:pStyle w:val="Normal"/>
        <w:spacing w:before="60" w:after="0"/>
        <w:jc w:val="both"/>
        <w:rPr>
          <w:highlight w:val="yellow"/>
        </w:rPr>
      </w:pPr>
      <w:r>
        <w:rPr>
          <w:lang w:val="pt-BR"/>
        </w:rPr>
        <w:t>II - 0__ (</w:t>
      </w:r>
      <w:r>
        <w:rPr>
          <w:i/>
          <w:color w:val="404040"/>
          <w:lang w:val="pt-BR"/>
        </w:rPr>
        <w:t>por extenso</w:t>
      </w:r>
      <w:r>
        <w:rPr>
          <w:lang w:val="pt-BR"/>
        </w:rPr>
        <w:t>) docentes dos Departamentos de ____________, ___________ e ___________.</w:t>
      </w:r>
    </w:p>
    <w:p>
      <w:pPr>
        <w:pStyle w:val="Normal"/>
        <w:spacing w:before="60" w:after="0"/>
        <w:jc w:val="both"/>
        <w:rPr/>
      </w:pPr>
      <w:r>
        <w:rPr>
          <w:lang w:val="pt-BR"/>
        </w:rPr>
        <w:t>§ 1</w:t>
      </w:r>
      <w:r>
        <w:rPr>
          <w:u w:val="single"/>
          <w:vertAlign w:val="superscript"/>
          <w:lang w:val="pt-BR"/>
        </w:rPr>
        <w:t>o</w:t>
      </w:r>
      <w:r>
        <w:rPr>
          <w:lang w:val="pt-BR"/>
        </w:rPr>
        <w:t xml:space="preserve"> O presidente do NDE será eleito pelo plenário, dentre seus membros, e terá mandato de 02 (dois anos), sendo permitida a recondução.</w:t>
      </w:r>
    </w:p>
    <w:p>
      <w:pPr>
        <w:pStyle w:val="Normal"/>
        <w:spacing w:before="60" w:after="0"/>
        <w:jc w:val="both"/>
        <w:rPr>
          <w:lang w:val="pt-BR"/>
        </w:rPr>
      </w:pPr>
      <w:r>
        <w:rPr>
          <w:lang w:val="pt-BR"/>
        </w:rPr>
        <w:t>§ 2</w:t>
      </w:r>
      <w:r>
        <w:rPr>
          <w:u w:val="single"/>
          <w:vertAlign w:val="superscript"/>
          <w:lang w:val="pt-BR"/>
        </w:rPr>
        <w:t>o</w:t>
      </w:r>
      <w:r>
        <w:rPr>
          <w:lang w:val="pt-BR"/>
        </w:rPr>
        <w:t xml:space="preserve"> O mandato do presidente será inferior a 02 (dois) anos quando o mandato desse membro, no órgão colegiado, vier a encerrar-se antes desse prazo.</w:t>
      </w:r>
    </w:p>
    <w:p>
      <w:pPr>
        <w:pStyle w:val="Normal"/>
        <w:spacing w:before="60" w:after="0"/>
        <w:jc w:val="both"/>
        <w:rPr>
          <w:lang w:val="pt-BR"/>
        </w:rPr>
      </w:pPr>
      <w:r>
        <w:rPr>
          <w:lang w:val="pt-BR"/>
        </w:rPr>
        <w:t>§ 3</w:t>
      </w:r>
      <w:r>
        <w:rPr>
          <w:u w:val="single"/>
          <w:vertAlign w:val="superscript"/>
          <w:lang w:val="pt-BR"/>
        </w:rPr>
        <w:t>o</w:t>
      </w:r>
      <w:r>
        <w:rPr>
          <w:lang w:val="pt-BR"/>
        </w:rPr>
        <w:t xml:space="preserve"> Os docentes previstos no inciso II serão eleitos pelo plenário do Colegiado do curso para cumprimento de mandato de 04 (quatro) anos, permitida a recondução, de acordo com edital emitido pelo Diretor da Unidade.</w:t>
      </w:r>
    </w:p>
    <w:p>
      <w:pPr>
        <w:pStyle w:val="Normal"/>
        <w:spacing w:before="60" w:after="0"/>
        <w:jc w:val="both"/>
        <w:rPr>
          <w:i/>
          <w:i/>
          <w:color w:val="000090"/>
          <w:lang w:val="pt-BR"/>
        </w:rPr>
      </w:pPr>
      <w:r>
        <w:rPr>
          <w:i/>
          <w:color w:val="000090"/>
          <w:lang w:val="pt-BR"/>
        </w:rPr>
        <w:t>Observação: Quando couber (caso das Unidades Acadêmicas FALE e ICA), o termo Departamento deverá ser substituído por “estrutura equivalente”.</w:t>
      </w:r>
    </w:p>
    <w:p>
      <w:pPr>
        <w:pStyle w:val="Annotationtext"/>
        <w:rPr>
          <w:color w:val="000090"/>
          <w:lang w:val="pt-BR"/>
        </w:rPr>
      </w:pPr>
      <w:r>
        <w:rPr>
          <w:color w:val="000090"/>
          <w:lang w:val="pt-BR"/>
        </w:rPr>
      </w:r>
    </w:p>
    <w:p>
      <w:pPr>
        <w:pStyle w:val="Normal"/>
        <w:spacing w:before="60" w:after="0"/>
        <w:jc w:val="center"/>
        <w:rPr>
          <w:lang w:val="pt-BR"/>
        </w:rPr>
      </w:pPr>
      <w:r>
        <w:rPr>
          <w:lang w:val="pt-BR"/>
        </w:rPr>
        <w:t>TÍTULO IV – DO REGIME ACADÊMICO</w:t>
      </w:r>
    </w:p>
    <w:p>
      <w:pPr>
        <w:pStyle w:val="Normal"/>
        <w:spacing w:before="60" w:after="0"/>
        <w:jc w:val="center"/>
        <w:rPr>
          <w:lang w:val="pt-BR"/>
        </w:rPr>
      </w:pPr>
      <w:r>
        <w:rPr>
          <w:lang w:val="pt-BR"/>
        </w:rPr>
      </w:r>
    </w:p>
    <w:p>
      <w:pPr>
        <w:pStyle w:val="Normal"/>
        <w:spacing w:before="60" w:after="0"/>
        <w:jc w:val="center"/>
        <w:rPr>
          <w:lang w:val="pt-BR"/>
        </w:rPr>
      </w:pPr>
      <w:r>
        <w:rPr>
          <w:lang w:val="pt-BR"/>
        </w:rPr>
        <w:t>CAPÍTULO I – DO REQUERIMENTO DE MATRÍCULA</w:t>
      </w:r>
    </w:p>
    <w:p>
      <w:pPr>
        <w:pStyle w:val="Normal"/>
        <w:spacing w:before="60" w:after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spacing w:before="60" w:after="0"/>
        <w:jc w:val="both"/>
        <w:rPr/>
      </w:pPr>
      <w:r>
        <w:rPr>
          <w:lang w:val="pt-BR"/>
        </w:rPr>
        <w:t>Art. 12 A matrícula do estudante deverá observar o seguinte número máximo de créditos por período letivo para cada um dos seguintes percursos curriculares:</w:t>
      </w:r>
    </w:p>
    <w:p>
      <w:pPr>
        <w:pStyle w:val="Normal"/>
        <w:spacing w:before="60" w:after="0"/>
        <w:jc w:val="both"/>
        <w:rPr>
          <w:lang w:val="pt-BR"/>
        </w:rPr>
      </w:pPr>
      <w:r>
        <w:rPr>
          <w:lang w:val="pt-BR"/>
        </w:rPr>
        <w:t>I - ___ créditos para o percurso _________</w:t>
      </w:r>
    </w:p>
    <w:p>
      <w:pPr>
        <w:pStyle w:val="Normal"/>
        <w:spacing w:before="60" w:after="0"/>
        <w:jc w:val="both"/>
        <w:rPr>
          <w:lang w:val="pt-BR"/>
        </w:rPr>
      </w:pPr>
      <w:r>
        <w:rPr>
          <w:lang w:val="pt-BR"/>
        </w:rPr>
        <w:t>II - ___ créditos para o percurso _________</w:t>
      </w:r>
    </w:p>
    <w:p>
      <w:pPr>
        <w:pStyle w:val="Normal"/>
        <w:spacing w:before="60" w:after="0"/>
        <w:jc w:val="both"/>
        <w:rPr>
          <w:lang w:val="pt-BR"/>
        </w:rPr>
      </w:pPr>
      <w:r>
        <w:rPr>
          <w:color w:val="443205"/>
          <w:lang w:val="pt-BR"/>
        </w:rPr>
        <w:t xml:space="preserve">Paragrafo único. </w:t>
      </w:r>
      <w:r>
        <w:rPr>
          <w:i/>
          <w:color w:val="443205"/>
          <w:lang w:val="pt-BR"/>
        </w:rPr>
        <w:t>Listar aqui eventuais atividades acadêmicas curriculares que não entram no cômputo acima. Por exemplo, alguns cursos não contabilizam a carga horária do Estágio Supervisionado (obrigatório) no total de créditos permitidos por período.</w:t>
      </w:r>
    </w:p>
    <w:p>
      <w:pPr>
        <w:pStyle w:val="Normal"/>
        <w:spacing w:before="60" w:after="0"/>
        <w:jc w:val="both"/>
        <w:rPr>
          <w:i/>
          <w:i/>
          <w:color w:val="000090"/>
          <w:lang w:val="pt-BR"/>
        </w:rPr>
      </w:pPr>
      <w:r>
        <w:rPr>
          <w:i/>
          <w:color w:val="000090"/>
          <w:lang w:val="pt-BR"/>
        </w:rPr>
        <w:t>Observação: Considerar o disposto nos artigos 54 (inciso II) e 49 (</w:t>
      </w:r>
      <w:r>
        <w:rPr>
          <w:i/>
          <w:color w:val="000090"/>
          <w:sz w:val="20"/>
          <w:szCs w:val="20"/>
          <w:lang w:val="pt-BR"/>
        </w:rPr>
        <w:t xml:space="preserve">§ </w:t>
      </w:r>
      <w:r>
        <w:rPr>
          <w:i/>
          <w:color w:val="000090"/>
          <w:lang w:val="pt-BR"/>
        </w:rPr>
        <w:t>3</w:t>
      </w:r>
      <w:r>
        <w:rPr>
          <w:i/>
          <w:color w:val="000090"/>
          <w:u w:val="single"/>
          <w:vertAlign w:val="superscript"/>
          <w:lang w:val="pt-BR"/>
        </w:rPr>
        <w:t>o</w:t>
      </w:r>
      <w:r>
        <w:rPr>
          <w:i/>
          <w:color w:val="000090"/>
          <w:lang w:val="pt-BR"/>
        </w:rPr>
        <w:t>) das NGG.</w:t>
      </w:r>
    </w:p>
    <w:p>
      <w:pPr>
        <w:pStyle w:val="Normal"/>
        <w:spacing w:before="60" w:after="0"/>
        <w:jc w:val="both"/>
        <w:rPr>
          <w:i/>
          <w:i/>
          <w:color w:val="000090"/>
          <w:lang w:val="pt-BR"/>
        </w:rPr>
      </w:pPr>
      <w:r>
        <w:rPr>
          <w:i/>
          <w:color w:val="000090"/>
          <w:lang w:val="pt-BR"/>
        </w:rPr>
      </w:r>
    </w:p>
    <w:p>
      <w:pPr>
        <w:pStyle w:val="Normal"/>
        <w:spacing w:before="60" w:after="0"/>
        <w:jc w:val="both"/>
        <w:rPr>
          <w:lang w:val="pt-BR"/>
        </w:rPr>
      </w:pPr>
      <w:r>
        <w:rPr>
          <w:lang w:val="pt-BR"/>
        </w:rPr>
        <w:t xml:space="preserve">Art. 13 Observadas as disposições da Resolução </w:t>
      </w:r>
      <w:r>
        <w:rPr>
          <w:rStyle w:val="Ncoradanotaderodap"/>
          <w:lang w:val="pt-BR"/>
        </w:rPr>
        <w:footnoteReference w:id="5"/>
      </w:r>
      <w:r>
        <w:rPr>
          <w:lang w:val="pt-BR"/>
        </w:rPr>
        <w:t>do Conselho de Ensino, Pesquisa e Extensão que trata da matrícula em atividades acadêmicas curriculares, deverão ser considerados os seguintes critérios adicionais para os estudantes do curso de graduação em _________:</w:t>
      </w:r>
    </w:p>
    <w:p>
      <w:pPr>
        <w:pStyle w:val="Normal"/>
        <w:spacing w:before="60" w:after="0"/>
        <w:jc w:val="both"/>
        <w:rPr>
          <w:lang w:val="pt-BR"/>
        </w:rPr>
      </w:pPr>
      <w:r>
        <w:rPr>
          <w:lang w:val="pt-BR"/>
        </w:rPr>
        <w:t>I -</w:t>
      </w:r>
    </w:p>
    <w:p>
      <w:pPr>
        <w:pStyle w:val="Normal"/>
        <w:spacing w:before="60" w:after="0"/>
        <w:jc w:val="both"/>
        <w:rPr>
          <w:lang w:val="pt-BR"/>
        </w:rPr>
      </w:pPr>
      <w:r>
        <w:rPr>
          <w:lang w:val="pt-BR"/>
        </w:rPr>
        <w:t xml:space="preserve">II - </w:t>
      </w:r>
    </w:p>
    <w:p>
      <w:pPr>
        <w:pStyle w:val="Normal"/>
        <w:jc w:val="both"/>
        <w:rPr>
          <w:i/>
          <w:i/>
          <w:color w:val="000090"/>
          <w:lang w:val="pt-BR"/>
        </w:rPr>
      </w:pPr>
      <w:r>
        <w:rPr>
          <w:i/>
          <w:color w:val="000090"/>
          <w:lang w:val="pt-BR"/>
        </w:rPr>
        <w:t>Observação: Para esse item, considerar critérios de prioridade de matrícula previstos no SiGA e formular texto do Regulamento buscando subsídios nos artigos 54 (inciso III) e 94 das NGG.</w:t>
      </w:r>
    </w:p>
    <w:p>
      <w:pPr>
        <w:pStyle w:val="Normal"/>
        <w:jc w:val="both"/>
        <w:rPr>
          <w:i/>
          <w:i/>
          <w:color w:val="000090"/>
          <w:lang w:val="pt-BR"/>
        </w:rPr>
      </w:pPr>
      <w:r>
        <w:rPr>
          <w:i/>
          <w:color w:val="000090"/>
          <w:lang w:val="pt-BR"/>
        </w:rPr>
      </w:r>
    </w:p>
    <w:p>
      <w:pPr>
        <w:pStyle w:val="Normal"/>
        <w:jc w:val="both"/>
        <w:rPr>
          <w:lang w:val="pt-BR"/>
        </w:rPr>
      </w:pPr>
      <w:r>
        <w:rPr>
          <w:lang w:val="pt-BR"/>
        </w:rPr>
        <w:t>Art. 14</w:t>
      </w:r>
      <w:r>
        <w:rPr>
          <w:color w:val="000090"/>
          <w:lang w:val="pt-BR"/>
        </w:rPr>
        <w:t xml:space="preserve"> </w:t>
      </w:r>
      <w:r>
        <w:rPr>
          <w:lang w:val="pt-BR"/>
        </w:rPr>
        <w:t>A matrícula em atividade acadêmica curricular, com quebra de pré-requisito, poderá ser autorizada pelo Colegiado observados os seguintes critérios:</w:t>
      </w:r>
    </w:p>
    <w:p>
      <w:pPr>
        <w:pStyle w:val="Normal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jc w:val="both"/>
        <w:rPr>
          <w:lang w:val="pt-BR"/>
        </w:rPr>
      </w:pPr>
      <w:r>
        <w:rPr>
          <w:lang w:val="pt-BR"/>
        </w:rPr>
        <w:t>I -</w:t>
      </w:r>
    </w:p>
    <w:p>
      <w:pPr>
        <w:pStyle w:val="Normal"/>
        <w:jc w:val="both"/>
        <w:rPr>
          <w:lang w:val="pt-BR"/>
        </w:rPr>
      </w:pPr>
      <w:r>
        <w:rPr>
          <w:lang w:val="pt-BR"/>
        </w:rPr>
        <w:t xml:space="preserve">II - </w:t>
      </w:r>
    </w:p>
    <w:p>
      <w:pPr>
        <w:pStyle w:val="Normal"/>
        <w:jc w:val="both"/>
        <w:rPr>
          <w:i/>
          <w:i/>
          <w:color w:val="000090"/>
          <w:lang w:val="pt-BR"/>
        </w:rPr>
      </w:pPr>
      <w:r>
        <w:rPr>
          <w:i/>
          <w:color w:val="000090"/>
          <w:lang w:val="pt-BR"/>
        </w:rPr>
      </w:r>
    </w:p>
    <w:p>
      <w:pPr>
        <w:pStyle w:val="Normal"/>
        <w:jc w:val="both"/>
        <w:rPr>
          <w:i/>
          <w:i/>
          <w:color w:val="000090"/>
          <w:lang w:val="pt-BR"/>
        </w:rPr>
      </w:pPr>
      <w:r>
        <w:rPr>
          <w:i/>
          <w:color w:val="000090"/>
          <w:lang w:val="pt-BR"/>
        </w:rPr>
        <w:t>Observação: Para a elaboração deste item, sugerimos que sejam considerados, particularmente, os casos de estudantes que ingressarem no curso por meio das  modalidades de transferência, obtenção de novo título, reopção e continuidade de estudos e que poderão demandar a quebra de pré-requisito para conseguirem dar sequência ao curso.</w:t>
      </w:r>
    </w:p>
    <w:p>
      <w:pPr>
        <w:pStyle w:val="Normal"/>
        <w:spacing w:before="60" w:after="0"/>
        <w:jc w:val="both"/>
        <w:rPr>
          <w:i/>
          <w:i/>
          <w:color w:val="000090"/>
          <w:lang w:val="pt-BR"/>
        </w:rPr>
      </w:pPr>
      <w:r>
        <w:rPr>
          <w:i/>
          <w:color w:val="000090"/>
          <w:lang w:val="pt-BR"/>
        </w:rPr>
      </w:r>
    </w:p>
    <w:p>
      <w:pPr>
        <w:pStyle w:val="Normal"/>
        <w:spacing w:before="60" w:after="0"/>
        <w:jc w:val="center"/>
        <w:rPr>
          <w:lang w:val="pt-BR"/>
        </w:rPr>
      </w:pPr>
      <w:r>
        <w:rPr>
          <w:lang w:val="pt-BR"/>
        </w:rPr>
        <w:t>CAPÍTULO II - DO TRANCAMENTO DE MATRÍCULA</w:t>
      </w:r>
    </w:p>
    <w:p>
      <w:pPr>
        <w:pStyle w:val="Normal"/>
        <w:spacing w:before="60" w:after="0"/>
        <w:jc w:val="center"/>
        <w:rPr>
          <w:lang w:val="pt-BR"/>
        </w:rPr>
      </w:pPr>
      <w:r>
        <w:rPr>
          <w:lang w:val="pt-BR"/>
        </w:rPr>
      </w:r>
    </w:p>
    <w:p>
      <w:pPr>
        <w:pStyle w:val="Normal"/>
        <w:spacing w:before="60" w:after="0"/>
        <w:jc w:val="both"/>
        <w:rPr/>
      </w:pPr>
      <w:r>
        <w:rPr>
          <w:lang w:val="pt-BR"/>
        </w:rPr>
        <w:t>Art. 15 Os requerimentos de trancamento parcial de matrícula com justificativa serão  apreciados pelo Colegiado do curso com base nos seguintes parâmetros:</w:t>
      </w:r>
    </w:p>
    <w:p>
      <w:pPr>
        <w:pStyle w:val="Normal"/>
        <w:spacing w:before="60" w:after="0"/>
        <w:jc w:val="both"/>
        <w:rPr>
          <w:lang w:val="pt-BR"/>
        </w:rPr>
      </w:pPr>
      <w:r>
        <w:rPr>
          <w:lang w:val="pt-BR"/>
        </w:rPr>
        <w:t>I - Após deferimento dos requerimentos de trancamento parcial, o(a) estudante deverá permanecer matriculado em número igual ou maior de créditos ao valor mínimo previsto para o percurso curricular ao qual ele(a) estiver vinculado(a), ressalvando-se os casos de regimes acadêmicos especiais previstos no art. 102 das Normas Gerais de Graduação.</w:t>
      </w:r>
    </w:p>
    <w:p>
      <w:pPr>
        <w:pStyle w:val="Normal"/>
        <w:spacing w:before="60" w:after="0"/>
        <w:jc w:val="both"/>
        <w:rPr>
          <w:i/>
          <w:i/>
          <w:color w:val="808080"/>
          <w:lang w:val="pt-BR"/>
        </w:rPr>
      </w:pPr>
      <w:r>
        <w:rPr>
          <w:i w:val="false"/>
          <w:iCs w:val="false"/>
          <w:color w:val="000000"/>
          <w:lang w:val="pt-BR"/>
        </w:rPr>
        <w:t xml:space="preserve">II - </w:t>
      </w:r>
      <w:r>
        <w:rPr>
          <w:i/>
          <w:color w:val="000000"/>
          <w:lang w:val="pt-BR"/>
        </w:rPr>
        <w:t>Sugestão: Escrever outros parâmetros tomando como base o Ofício Prograd 017/1999.</w:t>
      </w:r>
    </w:p>
    <w:p>
      <w:pPr>
        <w:pStyle w:val="GradeMdia1nfase21"/>
        <w:spacing w:before="60" w:after="0"/>
        <w:ind w:left="0" w:hanging="0"/>
        <w:contextualSpacing/>
        <w:jc w:val="both"/>
        <w:rPr>
          <w:rFonts w:ascii="Cambria" w:hAnsi="Cambria" w:eastAsia="MS Mincho;ＭＳ 明朝" w:cs="Cambria"/>
          <w:i/>
          <w:i/>
          <w:color w:val="000090"/>
          <w:sz w:val="24"/>
          <w:szCs w:val="24"/>
          <w:lang w:eastAsia="en-US"/>
        </w:rPr>
      </w:pPr>
      <w:r>
        <w:rPr>
          <w:rFonts w:cs="Cambria" w:ascii="Cambria" w:hAnsi="Cambria"/>
          <w:i/>
          <w:color w:val="000090"/>
          <w:sz w:val="24"/>
          <w:szCs w:val="24"/>
        </w:rPr>
        <w:t>Observação: Considerar o disposto no art. 97 das NGG</w:t>
      </w:r>
      <w:r>
        <w:rPr>
          <w:rFonts w:eastAsia="MS Mincho;ＭＳ 明朝" w:cs="Cambria" w:ascii="Cambria" w:hAnsi="Cambria"/>
          <w:i/>
          <w:color w:val="000090"/>
          <w:sz w:val="24"/>
          <w:szCs w:val="24"/>
          <w:lang w:eastAsia="en-US"/>
        </w:rPr>
        <w:t>.</w:t>
      </w:r>
    </w:p>
    <w:p>
      <w:pPr>
        <w:pStyle w:val="Normal"/>
        <w:spacing w:before="60" w:after="0"/>
        <w:jc w:val="both"/>
        <w:rPr>
          <w:rFonts w:cs="Cambria"/>
          <w:i/>
          <w:i/>
          <w:color w:val="000090"/>
          <w:lang w:val="pt-BR" w:eastAsia="en-US"/>
        </w:rPr>
      </w:pPr>
      <w:r>
        <w:rPr>
          <w:rFonts w:cs="Cambria"/>
          <w:i/>
          <w:color w:val="000090"/>
          <w:lang w:val="pt-BR" w:eastAsia="en-US"/>
        </w:rPr>
      </w:r>
    </w:p>
    <w:p>
      <w:pPr>
        <w:pStyle w:val="Normal"/>
        <w:spacing w:before="60" w:after="0"/>
        <w:jc w:val="both"/>
        <w:rPr/>
      </w:pPr>
      <w:r>
        <w:rPr>
          <w:lang w:val="pt-BR"/>
        </w:rPr>
        <w:t>Art. 16 Os requerimentos de trancamento total de matrícula com justificativa deverão ser apreciados pelo Colegiado do curso com base nos seguintes parâmetros:</w:t>
      </w:r>
    </w:p>
    <w:p>
      <w:pPr>
        <w:pStyle w:val="Normal"/>
        <w:spacing w:before="60" w:after="0"/>
        <w:jc w:val="both"/>
        <w:rPr>
          <w:lang w:val="pt-BR"/>
        </w:rPr>
      </w:pPr>
      <w:r>
        <w:rPr>
          <w:lang w:val="pt-BR"/>
        </w:rPr>
        <w:t xml:space="preserve">I - </w:t>
      </w:r>
    </w:p>
    <w:p>
      <w:pPr>
        <w:pStyle w:val="Normal"/>
        <w:spacing w:before="60" w:after="0"/>
        <w:jc w:val="both"/>
        <w:rPr/>
      </w:pPr>
      <w:r>
        <w:rPr>
          <w:lang w:val="pt-BR"/>
        </w:rPr>
        <w:t xml:space="preserve">II - </w:t>
      </w:r>
    </w:p>
    <w:p>
      <w:pPr>
        <w:pStyle w:val="GradeMdia1nfase21"/>
        <w:spacing w:before="60" w:after="0"/>
        <w:ind w:left="0" w:hanging="0"/>
        <w:contextualSpacing/>
        <w:jc w:val="both"/>
        <w:rPr>
          <w:rFonts w:ascii="Cambria" w:hAnsi="Cambria" w:eastAsia="MS Mincho;ＭＳ 明朝" w:cs="Cambria"/>
          <w:i/>
          <w:i/>
          <w:color w:val="000090"/>
          <w:sz w:val="24"/>
          <w:szCs w:val="24"/>
          <w:lang w:eastAsia="en-US"/>
        </w:rPr>
      </w:pPr>
      <w:r>
        <w:rPr>
          <w:rFonts w:cs="Cambria" w:ascii="Cambria" w:hAnsi="Cambria"/>
          <w:i/>
          <w:color w:val="000090"/>
          <w:sz w:val="24"/>
          <w:szCs w:val="24"/>
        </w:rPr>
        <w:t>Observação: Considerar o disposto nos artigos 54 (inciso V) e 96 (</w:t>
      </w:r>
      <w:r>
        <w:rPr>
          <w:rFonts w:eastAsia="MS Mincho;ＭＳ 明朝" w:cs="Cambria" w:ascii="Cambria" w:hAnsi="Cambria"/>
          <w:i/>
          <w:color w:val="000090"/>
          <w:sz w:val="24"/>
          <w:szCs w:val="24"/>
          <w:lang w:eastAsia="en-US"/>
        </w:rPr>
        <w:t>§§ 2</w:t>
      </w:r>
      <w:r>
        <w:rPr>
          <w:rFonts w:eastAsia="MS Mincho;ＭＳ 明朝" w:cs="Cambria" w:ascii="Cambria" w:hAnsi="Cambria"/>
          <w:i/>
          <w:color w:val="000090"/>
          <w:sz w:val="24"/>
          <w:szCs w:val="24"/>
          <w:u w:val="single"/>
          <w:vertAlign w:val="superscript"/>
          <w:lang w:eastAsia="en-US"/>
        </w:rPr>
        <w:t>o</w:t>
      </w:r>
      <w:r>
        <w:rPr>
          <w:rFonts w:eastAsia="MS Mincho;ＭＳ 明朝" w:cs="Cambria" w:ascii="Cambria" w:hAnsi="Cambria"/>
          <w:i/>
          <w:color w:val="000090"/>
          <w:sz w:val="24"/>
          <w:szCs w:val="24"/>
          <w:lang w:eastAsia="en-US"/>
        </w:rPr>
        <w:t xml:space="preserve"> e 3</w:t>
      </w:r>
      <w:r>
        <w:rPr>
          <w:rFonts w:eastAsia="MS Mincho;ＭＳ 明朝" w:cs="Cambria" w:ascii="Cambria" w:hAnsi="Cambria"/>
          <w:i/>
          <w:color w:val="000090"/>
          <w:sz w:val="24"/>
          <w:szCs w:val="24"/>
          <w:u w:val="single"/>
          <w:vertAlign w:val="superscript"/>
          <w:lang w:eastAsia="en-US"/>
        </w:rPr>
        <w:t>o</w:t>
      </w:r>
      <w:r>
        <w:rPr>
          <w:rFonts w:cs="Cambria" w:ascii="Cambria" w:hAnsi="Cambria"/>
          <w:i/>
          <w:color w:val="000090"/>
          <w:sz w:val="24"/>
          <w:szCs w:val="24"/>
        </w:rPr>
        <w:t>) das NGG</w:t>
      </w:r>
      <w:r>
        <w:rPr>
          <w:rFonts w:eastAsia="MS Mincho;ＭＳ 明朝" w:cs="Cambria" w:ascii="Cambria" w:hAnsi="Cambria"/>
          <w:i/>
          <w:color w:val="000090"/>
          <w:sz w:val="24"/>
          <w:szCs w:val="24"/>
          <w:lang w:eastAsia="en-US"/>
        </w:rPr>
        <w:t>, bem como as disposições dos artigos 88 e 98 das NGG.</w:t>
      </w:r>
    </w:p>
    <w:p>
      <w:pPr>
        <w:pStyle w:val="GradeMdia1nfase21"/>
        <w:spacing w:before="60" w:after="0"/>
        <w:ind w:left="0" w:hanging="0"/>
        <w:contextualSpacing/>
        <w:jc w:val="both"/>
        <w:rPr>
          <w:rFonts w:ascii="Cambria" w:hAnsi="Cambria" w:eastAsia="MS Mincho;ＭＳ 明朝" w:cs="Cambria"/>
          <w:i/>
          <w:i/>
          <w:color w:val="000090"/>
          <w:sz w:val="24"/>
          <w:szCs w:val="24"/>
          <w:lang w:eastAsia="en-US"/>
        </w:rPr>
      </w:pPr>
      <w:r>
        <w:rPr>
          <w:rFonts w:eastAsia="MS Mincho;ＭＳ 明朝" w:cs="Cambria" w:ascii="Cambria" w:hAnsi="Cambria"/>
          <w:i/>
          <w:color w:val="000090"/>
          <w:sz w:val="24"/>
          <w:szCs w:val="24"/>
          <w:lang w:eastAsia="en-US"/>
        </w:rPr>
      </w:r>
    </w:p>
    <w:p>
      <w:pPr>
        <w:pStyle w:val="Normal"/>
        <w:spacing w:before="60" w:after="0"/>
        <w:jc w:val="center"/>
        <w:rPr>
          <w:lang w:val="pt-BR"/>
        </w:rPr>
      </w:pPr>
      <w:r>
        <w:rPr>
          <w:lang w:val="pt-BR"/>
        </w:rPr>
        <w:t>CAPÍTULO  III – DO APROVEITAMENTO DE ESTUDOS E DA COMPROVAÇÃO DE CONHECIMENTOS</w:t>
      </w:r>
    </w:p>
    <w:p>
      <w:pPr>
        <w:pStyle w:val="Normal"/>
        <w:spacing w:before="60" w:after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spacing w:before="60" w:after="0"/>
        <w:jc w:val="both"/>
        <w:rPr>
          <w:lang w:val="pt-BR"/>
        </w:rPr>
      </w:pPr>
      <w:r>
        <w:rPr>
          <w:lang w:val="pt-BR"/>
        </w:rPr>
        <w:t>Art. 17  Para o(a) estudante que tiver deferida a solicitação de aproveitamento de atividades acadêmicas curriculares realizadas antes do seu ingresso no curso, devem ser considerados os seguintes parâmetros para formulação de seu plano de adaptação curricular:</w:t>
      </w:r>
    </w:p>
    <w:p>
      <w:pPr>
        <w:pStyle w:val="Normal"/>
        <w:spacing w:before="60" w:after="0"/>
        <w:jc w:val="both"/>
        <w:rPr>
          <w:lang w:val="pt-BR"/>
        </w:rPr>
      </w:pPr>
      <w:r>
        <w:rPr>
          <w:lang w:val="pt-BR"/>
        </w:rPr>
        <w:t xml:space="preserve">I - </w:t>
      </w:r>
    </w:p>
    <w:p>
      <w:pPr>
        <w:pStyle w:val="Normal"/>
        <w:spacing w:before="60" w:after="0"/>
        <w:jc w:val="both"/>
        <w:rPr>
          <w:lang w:val="pt-BR"/>
        </w:rPr>
      </w:pPr>
      <w:r>
        <w:rPr>
          <w:lang w:val="pt-BR"/>
        </w:rPr>
        <w:t xml:space="preserve">II - </w:t>
      </w:r>
    </w:p>
    <w:p>
      <w:pPr>
        <w:pStyle w:val="Normal"/>
        <w:spacing w:before="60" w:after="0"/>
        <w:jc w:val="both"/>
        <w:rPr/>
      </w:pPr>
      <w:r>
        <w:rPr>
          <w:i/>
          <w:color w:val="000090"/>
          <w:lang w:val="pt-BR"/>
        </w:rPr>
        <w:t>Observações: Nos incisos acima, sugere-se:</w:t>
      </w:r>
    </w:p>
    <w:p>
      <w:pPr>
        <w:pStyle w:val="Normal"/>
        <w:numPr>
          <w:ilvl w:val="0"/>
          <w:numId w:val="4"/>
        </w:numPr>
        <w:spacing w:before="60" w:after="0"/>
        <w:jc w:val="both"/>
        <w:rPr>
          <w:i/>
          <w:i/>
          <w:color w:val="000090"/>
          <w:lang w:val="pt-BR"/>
        </w:rPr>
      </w:pPr>
      <w:r>
        <w:rPr>
          <w:i/>
          <w:color w:val="000090"/>
          <w:lang w:val="pt-BR"/>
        </w:rPr>
        <w:t>Priorizar a matrícula nas atividades dos períodos inferiores;</w:t>
      </w:r>
    </w:p>
    <w:p>
      <w:pPr>
        <w:pStyle w:val="Normal"/>
        <w:numPr>
          <w:ilvl w:val="0"/>
          <w:numId w:val="4"/>
        </w:numPr>
        <w:spacing w:before="60" w:after="0"/>
        <w:jc w:val="both"/>
        <w:rPr>
          <w:i/>
          <w:i/>
          <w:color w:val="000090"/>
          <w:lang w:val="pt-BR"/>
        </w:rPr>
      </w:pPr>
      <w:r>
        <w:rPr>
          <w:i/>
          <w:color w:val="000090"/>
          <w:lang w:val="pt-BR"/>
        </w:rPr>
        <w:t>Flexibilizar número de períodos consecutivos nos primeiros semestres do aluno na universidade a fim de atender matrícula em número mínimo de créditos;</w:t>
      </w:r>
    </w:p>
    <w:p>
      <w:pPr>
        <w:pStyle w:val="Annotationtext"/>
        <w:numPr>
          <w:ilvl w:val="0"/>
          <w:numId w:val="4"/>
        </w:numPr>
        <w:jc w:val="both"/>
        <w:rPr>
          <w:i/>
          <w:i/>
          <w:color w:val="000090"/>
          <w:lang w:val="pt-BR"/>
        </w:rPr>
      </w:pPr>
      <w:r>
        <w:rPr>
          <w:i/>
          <w:color w:val="000090"/>
          <w:lang w:val="pt-BR"/>
        </w:rPr>
        <w:t xml:space="preserve">Observar o disposto na Resolução </w:t>
      </w:r>
      <w:r>
        <w:rPr>
          <w:rStyle w:val="Ncoradanotaderodap"/>
          <w:i/>
          <w:color w:val="000090"/>
          <w:lang w:val="pt-BR"/>
        </w:rPr>
        <w:footnoteReference w:id="6"/>
      </w:r>
      <w:r>
        <w:rPr>
          <w:i/>
          <w:color w:val="000090"/>
          <w:lang w:val="pt-BR"/>
        </w:rPr>
        <w:t xml:space="preserve">que trata do aproveitamento de estudos. </w:t>
      </w:r>
    </w:p>
    <w:p>
      <w:pPr>
        <w:pStyle w:val="Normal"/>
        <w:spacing w:before="60" w:after="0"/>
        <w:jc w:val="both"/>
        <w:rPr/>
      </w:pPr>
      <w:r>
        <w:rPr/>
      </w:r>
    </w:p>
    <w:p>
      <w:pPr>
        <w:pStyle w:val="Annotationtext"/>
        <w:jc w:val="both"/>
        <w:rPr/>
      </w:pPr>
      <w:r>
        <w:rPr>
          <w:lang w:val="pt-BR"/>
        </w:rPr>
        <w:t xml:space="preserve">Art. 18 Observadas as disposições da Resolução </w:t>
      </w:r>
      <w:r>
        <w:rPr>
          <w:rStyle w:val="Ncoradanotaderodap"/>
          <w:lang w:val="pt-BR"/>
        </w:rPr>
        <w:footnoteReference w:id="7"/>
      </w:r>
      <w:r>
        <w:rPr>
          <w:lang w:val="pt-BR"/>
        </w:rPr>
        <w:t xml:space="preserve">do Conselho de Ensino, Pesquisa e Extensão que trata do exame de comprovação de conhecimentos e do Projeto Pedagógico do Curso de Graduação em _____________, não será aplicado tal </w:t>
      </w:r>
      <w:r>
        <w:rPr>
          <w:i w:val="false"/>
          <w:iCs w:val="false"/>
          <w:color w:val="000000"/>
          <w:lang w:val="pt-BR"/>
        </w:rPr>
        <w:t>exame para as seguintes atividades acadêmicas curriculares:</w:t>
      </w:r>
    </w:p>
    <w:p>
      <w:pPr>
        <w:pStyle w:val="Annotationtext"/>
        <w:jc w:val="both"/>
        <w:rPr/>
      </w:pPr>
      <w:r>
        <w:rPr>
          <w:i w:val="false"/>
          <w:iCs w:val="false"/>
          <w:color w:val="000000"/>
          <w:lang w:val="pt-BR"/>
        </w:rPr>
        <w:t xml:space="preserve">a) </w:t>
      </w:r>
      <w:r>
        <w:rPr>
          <w:i/>
          <w:iCs/>
          <w:color w:val="000000"/>
          <w:lang w:val="pt-BR"/>
        </w:rPr>
        <w:t>Listar atividades</w:t>
      </w:r>
    </w:p>
    <w:p>
      <w:pPr>
        <w:pStyle w:val="Annotationtext"/>
        <w:numPr>
          <w:ilvl w:val="0"/>
          <w:numId w:val="0"/>
        </w:numPr>
        <w:ind w:left="720" w:hanging="0"/>
        <w:jc w:val="both"/>
        <w:rPr>
          <w:rFonts w:eastAsia="Cambria" w:cs="Cambria"/>
          <w:lang w:val="pt-BR"/>
        </w:rPr>
      </w:pPr>
      <w:r>
        <w:rPr>
          <w:rFonts w:eastAsia="Cambria" w:cs="Cambria"/>
          <w:lang w:val="pt-BR"/>
        </w:rPr>
        <w:t xml:space="preserve"> </w:t>
      </w:r>
    </w:p>
    <w:p>
      <w:pPr>
        <w:pStyle w:val="Annotationtext"/>
        <w:jc w:val="both"/>
        <w:rPr>
          <w:color w:val="000090"/>
          <w:lang w:val="pt-BR"/>
        </w:rPr>
      </w:pPr>
      <w:r>
        <w:rPr>
          <w:i/>
          <w:color w:val="000090"/>
          <w:lang w:val="pt-BR"/>
        </w:rPr>
        <w:t>Observação: Por meio de parágrafos, questões específicas sobre aplicação do exame de comprovação de conhecimento poderão ser regulamentadas aqui. No entanto, essas especificidades não podem contrariar as disposições superiores aprovadas.</w:t>
      </w:r>
    </w:p>
    <w:p>
      <w:pPr>
        <w:pStyle w:val="GradeMdia1nfase21"/>
        <w:spacing w:before="60" w:after="0"/>
        <w:ind w:left="0" w:hanging="0"/>
        <w:contextualSpacing/>
        <w:jc w:val="both"/>
        <w:rPr>
          <w:rFonts w:ascii="Cambria" w:hAnsi="Cambria" w:eastAsia="MS Mincho;ＭＳ 明朝" w:cs="Cambria"/>
          <w:i/>
          <w:i/>
          <w:color w:val="000090"/>
          <w:sz w:val="24"/>
          <w:szCs w:val="24"/>
          <w:lang w:eastAsia="en-US"/>
        </w:rPr>
      </w:pPr>
      <w:r>
        <w:rPr>
          <w:rFonts w:eastAsia="MS Mincho;ＭＳ 明朝" w:cs="Cambria" w:ascii="Cambria" w:hAnsi="Cambria"/>
          <w:i/>
          <w:color w:val="000090"/>
          <w:sz w:val="24"/>
          <w:szCs w:val="24"/>
          <w:lang w:eastAsia="en-US"/>
        </w:rPr>
      </w:r>
    </w:p>
    <w:p>
      <w:pPr>
        <w:pStyle w:val="Normal"/>
        <w:spacing w:before="60" w:after="0"/>
        <w:jc w:val="center"/>
        <w:rPr>
          <w:lang w:val="pt-BR"/>
        </w:rPr>
      </w:pPr>
      <w:bookmarkStart w:id="0" w:name="_GoBack"/>
      <w:bookmarkEnd w:id="0"/>
      <w:r>
        <w:rPr>
          <w:lang w:val="pt-BR"/>
        </w:rPr>
        <w:t>TÍTULO V – DAS VAGAS REMANESCENTES E ADICIONAIS</w:t>
      </w:r>
    </w:p>
    <w:p>
      <w:pPr>
        <w:pStyle w:val="Normal"/>
        <w:spacing w:before="60" w:after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spacing w:before="60" w:after="0"/>
        <w:jc w:val="both"/>
        <w:rPr>
          <w:lang w:val="pt-BR"/>
        </w:rPr>
      </w:pPr>
      <w:r>
        <w:rPr>
          <w:lang w:val="pt-BR"/>
        </w:rPr>
        <w:t xml:space="preserve">Art. 19 Observadas as disposições da Resolução </w:t>
      </w:r>
      <w:r>
        <w:rPr>
          <w:rStyle w:val="Ncoradanotaderodap"/>
          <w:lang w:val="pt-BR"/>
        </w:rPr>
        <w:footnoteReference w:id="8"/>
      </w:r>
      <w:r>
        <w:rPr>
          <w:lang w:val="pt-BR"/>
        </w:rPr>
        <w:t xml:space="preserve">do Conselho de Ensino, Pesquisa e Extensão que trata do provimento de vagas remanescentes, deverão ser considerados os seguintes critérios adicionais, nesta ordem, para classificação dos requerimentos de mudança de turno:  </w:t>
      </w:r>
    </w:p>
    <w:p>
      <w:pPr>
        <w:pStyle w:val="Normal"/>
        <w:spacing w:before="60" w:after="0"/>
        <w:jc w:val="both"/>
        <w:rPr>
          <w:i/>
          <w:i/>
          <w:color w:val="808080"/>
          <w:lang w:val="pt-BR"/>
        </w:rPr>
      </w:pPr>
      <w:r>
        <w:rPr>
          <w:i w:val="false"/>
          <w:iCs w:val="false"/>
          <w:color w:val="000000"/>
          <w:lang w:val="pt-BR"/>
        </w:rPr>
        <w:t>I - Maior proporção do número de créditos integralizados no curso com relação ao número total de períodos letivos durante os quais o(a) estudante permaneceu com vínculo ativo na UFMG;</w:t>
      </w:r>
    </w:p>
    <w:p>
      <w:pPr>
        <w:pStyle w:val="Normal"/>
        <w:spacing w:before="60" w:after="0"/>
        <w:jc w:val="both"/>
        <w:rPr>
          <w:lang w:val="pt-BR"/>
        </w:rPr>
      </w:pPr>
      <w:r>
        <w:rPr>
          <w:i w:val="false"/>
          <w:iCs w:val="false"/>
          <w:color w:val="000000"/>
          <w:lang w:val="pt-BR"/>
        </w:rPr>
        <w:t xml:space="preserve">II - </w:t>
      </w:r>
    </w:p>
    <w:p>
      <w:pPr>
        <w:pStyle w:val="Normal"/>
        <w:spacing w:before="60" w:after="0"/>
        <w:jc w:val="both"/>
        <w:rPr/>
      </w:pPr>
      <w:r>
        <w:rPr>
          <w:lang w:val="pt-BR"/>
        </w:rPr>
        <w:t>Parágrafo único.  Será permitido um máximo de ___ (</w:t>
      </w:r>
      <w:r>
        <w:rPr>
          <w:i/>
          <w:color w:val="595959"/>
          <w:lang w:val="pt-BR"/>
        </w:rPr>
        <w:t>por extenso</w:t>
      </w:r>
      <w:r>
        <w:rPr>
          <w:lang w:val="pt-BR"/>
        </w:rPr>
        <w:t>) ocorrências de mudança de turno durante toda vinculação do(a) estudante ao curso de graduação em __________.</w:t>
      </w:r>
    </w:p>
    <w:p>
      <w:pPr>
        <w:pStyle w:val="GradeMdia1nfase21"/>
        <w:spacing w:before="60" w:after="0"/>
        <w:ind w:left="0" w:hanging="0"/>
        <w:contextualSpacing/>
        <w:jc w:val="both"/>
        <w:rPr>
          <w:rFonts w:ascii="Cambria" w:hAnsi="Cambria" w:eastAsia="MS Mincho;ＭＳ 明朝" w:cs="Cambria"/>
          <w:i/>
          <w:i/>
          <w:color w:val="000090"/>
          <w:sz w:val="24"/>
          <w:szCs w:val="24"/>
          <w:lang w:eastAsia="en-US"/>
        </w:rPr>
      </w:pPr>
      <w:r>
        <w:rPr>
          <w:rFonts w:cs="Cambria" w:ascii="Cambria" w:hAnsi="Cambria"/>
          <w:i/>
          <w:color w:val="000090"/>
          <w:sz w:val="24"/>
          <w:szCs w:val="24"/>
        </w:rPr>
        <w:t>Observação: Considerar o disposto nos artigos 54 (inciso VI) e 73 das NGG</w:t>
      </w:r>
      <w:r>
        <w:rPr>
          <w:color w:val="000090"/>
        </w:rPr>
        <w:t>.</w:t>
      </w:r>
    </w:p>
    <w:p>
      <w:pPr>
        <w:pStyle w:val="Normal"/>
        <w:spacing w:before="60" w:after="0"/>
        <w:jc w:val="both"/>
        <w:rPr>
          <w:rFonts w:cs="Cambria"/>
          <w:i/>
          <w:i/>
          <w:color w:val="000090"/>
          <w:lang w:val="pt-BR" w:eastAsia="en-US"/>
        </w:rPr>
      </w:pPr>
      <w:r>
        <w:rPr>
          <w:rFonts w:cs="Cambria"/>
          <w:i/>
          <w:color w:val="000090"/>
          <w:lang w:val="pt-BR" w:eastAsia="en-US"/>
        </w:rPr>
      </w:r>
    </w:p>
    <w:p>
      <w:pPr>
        <w:pStyle w:val="Normal"/>
        <w:spacing w:before="60" w:after="0"/>
        <w:jc w:val="both"/>
        <w:rPr/>
      </w:pPr>
      <w:r>
        <w:rPr>
          <w:lang w:val="pt-BR"/>
        </w:rPr>
        <w:t>Art. 20 Observadas as disposições da Resolução do Conselho de Ensino, Pesquisa e Extensão que trata do provimento de vagas remanescentes, deverão ser considerados os seguintes critérios adicionais para classificação dos requerimentos de reopção para o curso de graduação em __________________:</w:t>
      </w:r>
    </w:p>
    <w:p>
      <w:pPr>
        <w:pStyle w:val="Normal"/>
        <w:spacing w:before="60" w:after="0"/>
        <w:jc w:val="both"/>
        <w:rPr>
          <w:lang w:val="pt-BR"/>
        </w:rPr>
      </w:pPr>
      <w:r>
        <w:rPr>
          <w:lang w:val="pt-BR"/>
        </w:rPr>
        <w:t xml:space="preserve">I - </w:t>
      </w:r>
    </w:p>
    <w:p>
      <w:pPr>
        <w:pStyle w:val="Normal"/>
        <w:spacing w:before="60" w:after="0"/>
        <w:jc w:val="both"/>
        <w:rPr>
          <w:lang w:val="pt-BR"/>
        </w:rPr>
      </w:pPr>
      <w:r>
        <w:rPr>
          <w:lang w:val="pt-BR"/>
        </w:rPr>
        <w:t xml:space="preserve">II - </w:t>
      </w:r>
    </w:p>
    <w:p>
      <w:pPr>
        <w:pStyle w:val="Normal"/>
        <w:spacing w:before="60" w:after="0"/>
        <w:jc w:val="both"/>
        <w:rPr>
          <w:lang w:val="pt-BR"/>
        </w:rPr>
      </w:pPr>
      <w:r>
        <w:rPr>
          <w:color w:val="000000"/>
          <w:lang w:val="pt-BR"/>
        </w:rPr>
        <w:t>§ 1</w:t>
      </w:r>
      <w:r>
        <w:rPr>
          <w:color w:val="000000"/>
          <w:u w:val="single"/>
          <w:vertAlign w:val="superscript"/>
          <w:lang w:val="pt-BR"/>
        </w:rPr>
        <w:t>o</w:t>
      </w:r>
      <w:r>
        <w:rPr>
          <w:color w:val="000000"/>
          <w:lang w:val="pt-BR"/>
        </w:rPr>
        <w:t xml:space="preserve"> </w:t>
      </w:r>
      <w:r>
        <w:rPr>
          <w:i/>
          <w:color w:val="000000"/>
          <w:lang w:val="pt-BR"/>
        </w:rPr>
        <w:t>Atenção: O critério de afinidade de áreas para o curso de ____________ será baseado no cômputo do total de créditos de atividades acadêmicas curriculares de natureza obrigatória no curso de origem do requerente que são comuns ao curso de destino para o qual se solicita a reopção.</w:t>
      </w:r>
      <w:r>
        <w:rPr>
          <w:color w:val="000000"/>
          <w:lang w:val="pt-BR"/>
        </w:rPr>
        <w:t xml:space="preserve"> </w:t>
      </w:r>
    </w:p>
    <w:p>
      <w:pPr>
        <w:pStyle w:val="Normal"/>
        <w:spacing w:before="60" w:after="0"/>
        <w:jc w:val="both"/>
        <w:rPr>
          <w:i/>
          <w:i/>
          <w:color w:val="595959"/>
          <w:lang w:val="pt-BR"/>
        </w:rPr>
      </w:pPr>
      <w:r>
        <w:rPr>
          <w:color w:val="000000"/>
          <w:lang w:val="pt-BR"/>
        </w:rPr>
        <w:t>§ 2</w:t>
      </w:r>
      <w:r>
        <w:rPr>
          <w:color w:val="000000"/>
          <w:u w:val="single"/>
          <w:vertAlign w:val="superscript"/>
          <w:lang w:val="pt-BR"/>
        </w:rPr>
        <w:t>o</w:t>
      </w:r>
      <w:r>
        <w:rPr>
          <w:color w:val="000000"/>
          <w:lang w:val="pt-BR"/>
        </w:rPr>
        <w:t xml:space="preserve"> </w:t>
      </w:r>
      <w:r>
        <w:rPr>
          <w:i/>
          <w:color w:val="000000"/>
          <w:lang w:val="pt-BR"/>
        </w:rPr>
        <w:t>Se necessário, indicar aqui algum esclarecimento para cômputo do critério previsto no inciso II do art. 11 da Resolução sobre vagas remanescentes.</w:t>
      </w:r>
    </w:p>
    <w:p>
      <w:pPr>
        <w:pStyle w:val="GradeMdia1nfase21"/>
        <w:spacing w:before="60" w:after="0"/>
        <w:ind w:left="0" w:hanging="0"/>
        <w:contextualSpacing/>
        <w:jc w:val="both"/>
        <w:rPr>
          <w:rFonts w:ascii="Cambria" w:hAnsi="Cambria" w:eastAsia="MS Mincho;ＭＳ 明朝" w:cs="Cambria"/>
          <w:i/>
          <w:i/>
          <w:color w:val="000090"/>
          <w:sz w:val="24"/>
          <w:szCs w:val="24"/>
          <w:lang w:eastAsia="en-US"/>
        </w:rPr>
      </w:pPr>
      <w:r>
        <w:rPr>
          <w:rFonts w:cs="Cambria" w:ascii="Cambria" w:hAnsi="Cambria"/>
          <w:i/>
          <w:color w:val="000090"/>
          <w:sz w:val="24"/>
          <w:szCs w:val="24"/>
        </w:rPr>
        <w:t>Observação: Considerar o disposto nos artigos 54 (inciso VII) e 75 das NGG</w:t>
      </w:r>
      <w:r>
        <w:rPr>
          <w:color w:val="000090"/>
        </w:rPr>
        <w:t>.</w:t>
      </w:r>
    </w:p>
    <w:p>
      <w:pPr>
        <w:pStyle w:val="Normal"/>
        <w:spacing w:before="60" w:after="0"/>
        <w:jc w:val="both"/>
        <w:rPr>
          <w:rFonts w:cs="Cambria"/>
          <w:i/>
          <w:i/>
          <w:color w:val="000090"/>
          <w:lang w:val="pt-BR" w:eastAsia="en-US"/>
        </w:rPr>
      </w:pPr>
      <w:r>
        <w:rPr>
          <w:rFonts w:cs="Cambria"/>
          <w:i/>
          <w:color w:val="000090"/>
          <w:lang w:val="pt-BR" w:eastAsia="en-US"/>
        </w:rPr>
      </w:r>
    </w:p>
    <w:p>
      <w:pPr>
        <w:pStyle w:val="Normal"/>
        <w:spacing w:before="60" w:after="0"/>
        <w:jc w:val="both"/>
        <w:rPr/>
      </w:pPr>
      <w:r>
        <w:rPr>
          <w:lang w:val="pt-BR"/>
        </w:rPr>
        <w:t>Art. 21 Observadas as disposições da Resolução do Conselho de Ensino, Pesquisa e Extensão que trata do provimento de vagas remanescentes, deverão ser considerados os seguintes critérios adicionais para classificação dos requerimentos de continuidade de estudos visando à obtenção de novo diploma em _____________________ ou de nova habilitação em __________________:</w:t>
      </w:r>
    </w:p>
    <w:p>
      <w:pPr>
        <w:pStyle w:val="Normal"/>
        <w:spacing w:before="60" w:after="0"/>
        <w:jc w:val="both"/>
        <w:rPr>
          <w:lang w:val="pt-BR"/>
        </w:rPr>
      </w:pPr>
      <w:r>
        <w:rPr>
          <w:lang w:val="pt-BR"/>
        </w:rPr>
        <w:t xml:space="preserve">I - </w:t>
      </w:r>
    </w:p>
    <w:p>
      <w:pPr>
        <w:pStyle w:val="Normal"/>
        <w:spacing w:before="60" w:after="0"/>
        <w:jc w:val="both"/>
        <w:rPr>
          <w:lang w:val="pt-BR"/>
        </w:rPr>
      </w:pPr>
      <w:r>
        <w:rPr>
          <w:lang w:val="pt-BR"/>
        </w:rPr>
        <w:t xml:space="preserve">II - </w:t>
      </w:r>
    </w:p>
    <w:p>
      <w:pPr>
        <w:pStyle w:val="Normal"/>
        <w:spacing w:before="60" w:after="0"/>
        <w:jc w:val="both"/>
        <w:rPr/>
      </w:pPr>
      <w:r>
        <w:rPr>
          <w:i/>
          <w:color w:val="000090"/>
          <w:lang w:val="pt-BR"/>
        </w:rPr>
        <w:t>Observações:</w:t>
      </w:r>
    </w:p>
    <w:p>
      <w:pPr>
        <w:pStyle w:val="Normal"/>
        <w:numPr>
          <w:ilvl w:val="0"/>
          <w:numId w:val="2"/>
        </w:numPr>
        <w:spacing w:before="60" w:after="0"/>
        <w:ind w:left="284" w:hanging="284"/>
        <w:jc w:val="both"/>
        <w:rPr>
          <w:i/>
          <w:i/>
          <w:color w:val="000090"/>
          <w:lang w:val="pt-BR"/>
        </w:rPr>
      </w:pPr>
      <w:r>
        <w:rPr>
          <w:i/>
          <w:color w:val="000090"/>
          <w:lang w:val="pt-BR"/>
        </w:rPr>
        <w:t xml:space="preserve">Se necessário, dividir esse artigo por diploma ou habilitação do curso. Para cursos com único diploma, basta indicar o grau conferido (por exemplo, Bacharelado em ______) no primeiro espaço indicado no caput deste artigo. </w:t>
      </w:r>
    </w:p>
    <w:p>
      <w:pPr>
        <w:pStyle w:val="Normal"/>
        <w:numPr>
          <w:ilvl w:val="0"/>
          <w:numId w:val="2"/>
        </w:numPr>
        <w:spacing w:before="60" w:after="0"/>
        <w:ind w:left="284" w:hanging="284"/>
        <w:jc w:val="both"/>
        <w:rPr>
          <w:i/>
          <w:i/>
          <w:color w:val="000090"/>
          <w:lang w:val="pt-BR"/>
        </w:rPr>
      </w:pPr>
      <w:r>
        <w:rPr>
          <w:i/>
          <w:color w:val="000090"/>
          <w:lang w:val="pt-BR"/>
        </w:rPr>
        <w:t>Considerar o disposto nos artigos 54 (inciso VIII) e 74 das NGG.</w:t>
      </w:r>
    </w:p>
    <w:p>
      <w:pPr>
        <w:pStyle w:val="Normal"/>
        <w:spacing w:before="60" w:after="0"/>
        <w:jc w:val="both"/>
        <w:rPr>
          <w:i/>
          <w:i/>
          <w:color w:val="000090"/>
          <w:lang w:val="pt-BR"/>
        </w:rPr>
      </w:pPr>
      <w:r>
        <w:rPr>
          <w:i/>
          <w:color w:val="000090"/>
          <w:lang w:val="pt-BR"/>
        </w:rPr>
      </w:r>
    </w:p>
    <w:p>
      <w:pPr>
        <w:pStyle w:val="Normal"/>
        <w:spacing w:lineRule="auto" w:line="276" w:before="0" w:after="200"/>
        <w:jc w:val="both"/>
        <w:rPr/>
      </w:pPr>
      <w:r>
        <w:rPr>
          <w:lang w:val="pt-BR"/>
        </w:rPr>
        <w:t>Art. 22 Observadas as disposições da Resolução</w:t>
      </w:r>
      <w:r>
        <w:rPr>
          <w:rStyle w:val="Ncoradanotaderodap"/>
          <w:lang w:val="pt-BR"/>
        </w:rPr>
        <w:footnoteReference w:id="9"/>
      </w:r>
      <w:r>
        <w:rPr>
          <w:lang w:val="pt-BR"/>
        </w:rPr>
        <w:t xml:space="preserve"> do Conselho de Ensino, Pesquisa e Extensão que regulamenta </w:t>
      </w:r>
      <w:r>
        <w:rPr/>
        <w:t xml:space="preserve">o ingresso, como estudantes nos Cursos de Graduação da UFMG, de refugiados, asilados políticos, apátridas, portadores de visto temporário de acolhida humanitária, portadores de autorização de residência para fins de acolhida humanitária e outros imigrantes beneficiários de políticas humanitárias, serão disponibilizadas __________ vagas adicionais por ano no curso de graduação em _______________ para essa modalidade de ingresso. </w:t>
      </w:r>
    </w:p>
    <w:p>
      <w:pPr>
        <w:pStyle w:val="Normal"/>
        <w:spacing w:lineRule="auto" w:line="276" w:before="0" w:after="200"/>
        <w:jc w:val="both"/>
        <w:rPr/>
      </w:pPr>
      <w:r>
        <w:rPr>
          <w:i/>
          <w:color w:val="000090"/>
          <w:lang w:val="pt-BR"/>
        </w:rPr>
        <w:t>Observação: A Resolução do CEPE determina que deve ser disponibilizada no mínimo 01 (uma) vaga para essa modalidade de ingresso.</w:t>
      </w:r>
    </w:p>
    <w:p>
      <w:pPr>
        <w:pStyle w:val="Normal"/>
        <w:spacing w:lineRule="auto" w:line="276" w:before="0" w:after="200"/>
        <w:jc w:val="both"/>
        <w:rPr/>
      </w:pPr>
      <w:r>
        <w:rPr>
          <w:lang w:val="pt-BR"/>
        </w:rPr>
        <w:t>Art. 23</w:t>
      </w:r>
      <w:r>
        <w:rPr>
          <w:vertAlign w:val="superscript"/>
          <w:lang w:val="pt-BR"/>
        </w:rPr>
        <w:t xml:space="preserve"> </w:t>
      </w:r>
      <w:r>
        <w:rPr>
          <w:lang w:val="pt-BR"/>
        </w:rPr>
        <w:t>Serão disponibilizadas _______ vagas adicionais por ano para matrícula de estudantes convênio PEC-G e _______ vagas adicionais para matrícula de indígenas, exceto em casos excepcionais aprovados pelas</w:t>
      </w:r>
      <w:r>
        <w:rPr/>
        <w:t xml:space="preserve"> instâncias cabíveis. </w:t>
      </w:r>
    </w:p>
    <w:p>
      <w:pPr>
        <w:pStyle w:val="Normal"/>
        <w:spacing w:lineRule="auto" w:line="276" w:before="0" w:after="200"/>
        <w:jc w:val="both"/>
        <w:rPr>
          <w:i/>
          <w:i/>
          <w:color w:val="000090"/>
          <w:lang w:val="pt-BR"/>
        </w:rPr>
      </w:pPr>
      <w:r>
        <w:rPr>
          <w:i/>
          <w:color w:val="000090"/>
          <w:lang w:val="pt-BR"/>
        </w:rPr>
        <w:t>Observação: Não há Resolução do CEPE determinando obrigatoriedade quanto à  indicação de vaga para estudantes convênio PEC-G, devendo ser levada em consideração a disponibilidade de recursos para esse fim. No caso de estudantes indígenas, deve ser garantida a oferta de, no mínimo, 02 (duas) vagas por ano.</w:t>
      </w:r>
    </w:p>
    <w:p>
      <w:pPr>
        <w:pStyle w:val="Normal"/>
        <w:spacing w:before="60" w:after="0"/>
        <w:jc w:val="center"/>
        <w:rPr>
          <w:lang w:val="pt-BR"/>
        </w:rPr>
      </w:pPr>
      <w:r>
        <w:rPr>
          <w:lang w:val="pt-BR"/>
        </w:rPr>
        <w:t>TÍTULO VI – DAS DISPOSIÇÕES FINAIS</w:t>
      </w:r>
    </w:p>
    <w:p>
      <w:pPr>
        <w:pStyle w:val="Normal"/>
        <w:spacing w:before="60" w:after="0"/>
        <w:jc w:val="center"/>
        <w:rPr>
          <w:lang w:val="pt-BR"/>
        </w:rPr>
      </w:pPr>
      <w:r>
        <w:rPr>
          <w:lang w:val="pt-BR"/>
        </w:rPr>
      </w:r>
    </w:p>
    <w:p>
      <w:pPr>
        <w:pStyle w:val="Normal"/>
        <w:spacing w:lineRule="auto" w:line="276" w:before="0" w:after="200"/>
        <w:jc w:val="both"/>
        <w:rPr/>
      </w:pPr>
      <w:r>
        <w:rPr>
          <w:lang w:val="pt-BR"/>
        </w:rPr>
        <w:t xml:space="preserve">Art. 24 Este Regulamento entra em vigor nesta data, sendo revogadas as Resoluções _______, ________, e ______ e demais disposições em contrário. </w:t>
      </w:r>
    </w:p>
    <w:p>
      <w:pPr>
        <w:pStyle w:val="Normal"/>
        <w:spacing w:before="60" w:after="0"/>
        <w:jc w:val="both"/>
        <w:rPr>
          <w:i/>
          <w:i/>
          <w:color w:val="FF0000"/>
          <w:lang w:val="pt-BR"/>
        </w:rPr>
      </w:pPr>
      <w:r>
        <w:rPr>
          <w:i/>
          <w:color w:val="000090"/>
          <w:lang w:val="pt-BR"/>
        </w:rPr>
        <w:t>Observação: Listar todas as Resoluções do Colegiado</w:t>
      </w:r>
      <w:r>
        <w:rPr>
          <w:i/>
          <w:color w:val="000090"/>
          <w:u w:val="none"/>
          <w:lang w:val="pt-BR"/>
        </w:rPr>
        <w:t xml:space="preserve">, já que serão revogadas. </w:t>
      </w:r>
    </w:p>
    <w:p>
      <w:pPr>
        <w:pStyle w:val="Normal"/>
        <w:spacing w:before="60" w:after="0"/>
        <w:jc w:val="both"/>
        <w:rPr>
          <w:i/>
          <w:i/>
          <w:color w:val="000090"/>
          <w:lang w:val="pt-BR"/>
        </w:rPr>
      </w:pPr>
      <w:r>
        <w:rPr>
          <w:i/>
          <w:color w:val="000090"/>
          <w:lang w:val="pt-BR"/>
        </w:rPr>
      </w:r>
    </w:p>
    <w:p>
      <w:pPr>
        <w:pStyle w:val="Normal"/>
        <w:spacing w:before="60" w:after="0"/>
        <w:jc w:val="both"/>
        <w:rPr>
          <w:i/>
          <w:i/>
          <w:color w:val="000090"/>
          <w:lang w:val="pt-BR"/>
        </w:rPr>
      </w:pPr>
      <w:r>
        <w:rPr>
          <w:i/>
          <w:color w:val="000090"/>
          <w:u w:val="single"/>
          <w:lang w:val="pt-BR"/>
        </w:rPr>
        <w:t>Observações gerais</w:t>
      </w:r>
      <w:r>
        <w:rPr>
          <w:i/>
          <w:color w:val="000090"/>
          <w:lang w:val="pt-BR"/>
        </w:rPr>
        <w:t>:</w:t>
      </w:r>
    </w:p>
    <w:p>
      <w:pPr>
        <w:pStyle w:val="Normal"/>
        <w:numPr>
          <w:ilvl w:val="0"/>
          <w:numId w:val="3"/>
        </w:numPr>
        <w:spacing w:before="60" w:after="0"/>
        <w:ind w:left="284" w:hanging="284"/>
        <w:jc w:val="both"/>
        <w:rPr/>
      </w:pPr>
      <w:r>
        <w:rPr>
          <w:i/>
          <w:color w:val="000090"/>
          <w:lang w:val="pt-BR"/>
        </w:rPr>
        <w:t xml:space="preserve">Outras matérias poderão ser previstas no Regulamento de cada curso. Este modelo apresenta, apenas, algumas indicações que privilegiam, particularmente, matérias previstas nas novas NGG. </w:t>
      </w:r>
    </w:p>
    <w:p>
      <w:pPr>
        <w:pStyle w:val="Normal"/>
        <w:numPr>
          <w:ilvl w:val="0"/>
          <w:numId w:val="3"/>
        </w:numPr>
        <w:spacing w:before="60" w:after="0"/>
        <w:ind w:left="284" w:hanging="284"/>
        <w:jc w:val="both"/>
        <w:rPr/>
      </w:pPr>
      <w:r>
        <w:rPr>
          <w:i/>
          <w:color w:val="000090"/>
          <w:lang w:val="pt-BR"/>
        </w:rPr>
        <w:t>Para os cursos que fazem uso de Resoluções comuns da Congregação da respectiva Unidade Acadêmica sede, deverão ser previstos artigos fazendo referência ao assunto em questão. Por exemplo, sugere-se a redação: Art. X O ___________ (assunto) será regido por Resolução da Congregação da ______________.</w:t>
      </w:r>
    </w:p>
    <w:p>
      <w:pPr>
        <w:pStyle w:val="Normal"/>
        <w:spacing w:before="60" w:after="0"/>
        <w:ind w:left="284" w:hanging="284"/>
        <w:jc w:val="both"/>
        <w:rPr>
          <w:i/>
          <w:i/>
          <w:color w:val="000090"/>
          <w:highlight w:val="yellow"/>
          <w:u w:val="single"/>
          <w:lang w:val="pt-BR"/>
        </w:rPr>
      </w:pPr>
      <w:r>
        <w:rPr>
          <w:i/>
          <w:color w:val="000090"/>
          <w:u w:val="single"/>
          <w:lang w:val="pt-BR"/>
        </w:rPr>
      </w:r>
    </w:p>
    <w:p>
      <w:pPr>
        <w:pStyle w:val="Normal"/>
        <w:spacing w:before="60" w:after="0"/>
        <w:ind w:left="284" w:hanging="284"/>
        <w:jc w:val="both"/>
        <w:rPr/>
      </w:pPr>
      <w:r>
        <w:rPr>
          <w:i/>
          <w:color w:val="000090"/>
          <w:u w:val="single"/>
          <w:lang w:val="pt-BR"/>
        </w:rPr>
        <w:t>Princípios gerais a serem observados</w:t>
      </w:r>
      <w:r>
        <w:rPr>
          <w:i/>
          <w:color w:val="000090"/>
          <w:lang w:val="pt-BR"/>
        </w:rPr>
        <w:t>:</w:t>
      </w:r>
    </w:p>
    <w:p>
      <w:pPr>
        <w:pStyle w:val="Normal"/>
        <w:numPr>
          <w:ilvl w:val="0"/>
          <w:numId w:val="3"/>
        </w:numPr>
        <w:spacing w:before="60" w:after="0"/>
        <w:ind w:left="284" w:hanging="284"/>
        <w:jc w:val="both"/>
        <w:rPr>
          <w:highlight w:val="yellow"/>
        </w:rPr>
      </w:pPr>
      <w:r>
        <w:rPr>
          <w:i/>
          <w:color w:val="000090"/>
          <w:lang w:val="pt-BR"/>
        </w:rPr>
        <w:t xml:space="preserve"> </w:t>
      </w:r>
      <w:r>
        <w:rPr>
          <w:i/>
          <w:color w:val="000090"/>
          <w:lang w:val="pt-BR"/>
        </w:rPr>
        <w:t xml:space="preserve">A proposta do Regulamento é substituir todas as Resoluções do Colegiado. </w:t>
      </w:r>
    </w:p>
    <w:p>
      <w:pPr>
        <w:pStyle w:val="Normal"/>
        <w:numPr>
          <w:ilvl w:val="0"/>
          <w:numId w:val="3"/>
        </w:numPr>
        <w:spacing w:before="60" w:after="0"/>
        <w:ind w:left="284" w:hanging="284"/>
        <w:jc w:val="both"/>
        <w:rPr>
          <w:highlight w:val="yellow"/>
        </w:rPr>
      </w:pPr>
      <w:r>
        <w:rPr>
          <w:i/>
          <w:color w:val="000090"/>
          <w:lang w:val="pt-BR"/>
        </w:rPr>
        <w:t>O Regulamento não pode estabelecer critérios conflitantes com as normativas da UFMG.</w:t>
      </w:r>
    </w:p>
    <w:p>
      <w:pPr>
        <w:pStyle w:val="Normal"/>
        <w:numPr>
          <w:ilvl w:val="0"/>
          <w:numId w:val="3"/>
        </w:numPr>
        <w:spacing w:before="60" w:after="0"/>
        <w:ind w:left="284" w:hanging="284"/>
        <w:jc w:val="both"/>
        <w:rPr>
          <w:highlight w:val="yellow"/>
        </w:rPr>
      </w:pPr>
      <w:r>
        <w:rPr>
          <w:i/>
          <w:color w:val="000090"/>
          <w:lang w:val="pt-BR"/>
        </w:rPr>
        <w:t>O Regulamento não pode apresentar transcrição de conteúdos de Resoluções do CEPE ou do Conselho Universitário, mas pode, caso necessário, fazer referência a tais conteúdos.</w:t>
      </w:r>
    </w:p>
    <w:p>
      <w:pPr>
        <w:pStyle w:val="Normal"/>
        <w:numPr>
          <w:ilvl w:val="0"/>
          <w:numId w:val="3"/>
        </w:numPr>
        <w:spacing w:before="60" w:after="0"/>
        <w:ind w:left="284" w:hanging="284"/>
        <w:jc w:val="both"/>
        <w:rPr>
          <w:highlight w:val="yellow"/>
        </w:rPr>
      </w:pPr>
      <w:r>
        <w:rPr>
          <w:i/>
          <w:color w:val="000090"/>
          <w:lang w:val="pt-BR"/>
        </w:rPr>
        <w:t>O Regulamento não pode estabelecer critérios mais restritivos do que aqueles indicados em Resoluções do CEPE ou do Conselho Universitário.</w:t>
      </w:r>
    </w:p>
    <w:p>
      <w:pPr>
        <w:pStyle w:val="Normal"/>
        <w:numPr>
          <w:ilvl w:val="0"/>
          <w:numId w:val="3"/>
        </w:numPr>
        <w:spacing w:before="60" w:after="0"/>
        <w:ind w:left="284" w:hanging="284"/>
        <w:jc w:val="both"/>
        <w:rPr/>
      </w:pPr>
      <w:r>
        <w:rPr>
          <w:i/>
          <w:color w:val="000090"/>
          <w:lang w:val="pt-BR"/>
        </w:rPr>
        <w:t>O Regulamento não pode estabelecer critérios que dificultam o acesso aos Núcleos Formativos (por exemplo, exigir NSG mínima para vinculação a percurso com Núcleo Avançado).</w:t>
      </w:r>
    </w:p>
    <w:p>
      <w:pPr>
        <w:pStyle w:val="Normal"/>
        <w:spacing w:before="60" w:after="0"/>
        <w:ind w:left="284" w:hanging="284"/>
        <w:jc w:val="both"/>
        <w:rPr>
          <w:i/>
          <w:i/>
          <w:color w:val="000090"/>
          <w:highlight w:val="yellow"/>
          <w:lang w:val="pt-BR"/>
        </w:rPr>
      </w:pPr>
      <w:r>
        <w:rPr>
          <w:i/>
          <w:color w:val="000090"/>
          <w:lang w:val="pt-BR"/>
        </w:rPr>
      </w:r>
    </w:p>
    <w:p>
      <w:pPr>
        <w:pStyle w:val="Normal"/>
        <w:spacing w:before="60" w:after="0"/>
        <w:ind w:left="284" w:hanging="284"/>
        <w:jc w:val="both"/>
        <w:rPr/>
      </w:pPr>
      <w:r>
        <w:rPr>
          <w:i/>
          <w:color w:val="000090"/>
          <w:u w:val="single"/>
          <w:lang w:val="pt-BR"/>
        </w:rPr>
        <w:t>Pontos específicos a serem observados</w:t>
      </w:r>
      <w:r>
        <w:rPr>
          <w:i/>
          <w:color w:val="000090"/>
          <w:lang w:val="pt-BR"/>
        </w:rPr>
        <w:t>:</w:t>
      </w:r>
    </w:p>
    <w:p>
      <w:pPr>
        <w:pStyle w:val="Normal"/>
        <w:numPr>
          <w:ilvl w:val="0"/>
          <w:numId w:val="3"/>
        </w:numPr>
        <w:spacing w:before="60" w:after="0"/>
        <w:ind w:left="284" w:hanging="284"/>
        <w:jc w:val="both"/>
        <w:rPr/>
      </w:pPr>
      <w:r>
        <w:rPr>
          <w:i/>
          <w:color w:val="000090"/>
          <w:lang w:val="pt-BR"/>
        </w:rPr>
        <w:t>Não se deve estabelecer critérios para trancamento parcial de matrícula sem justificativa.</w:t>
      </w:r>
    </w:p>
    <w:p>
      <w:pPr>
        <w:pStyle w:val="Normal"/>
        <w:numPr>
          <w:ilvl w:val="0"/>
          <w:numId w:val="3"/>
        </w:numPr>
        <w:spacing w:before="60" w:after="0"/>
        <w:ind w:left="284" w:hanging="284"/>
        <w:jc w:val="both"/>
        <w:rPr/>
      </w:pPr>
      <w:r>
        <w:rPr>
          <w:i/>
          <w:color w:val="000090"/>
          <w:lang w:val="pt-BR"/>
        </w:rPr>
        <w:t xml:space="preserve">Não se deve definir número máximo de trancamentos parciais ou totais com justificativa pelo mesmo motivo. </w:t>
      </w:r>
    </w:p>
    <w:p>
      <w:pPr>
        <w:pStyle w:val="Normal"/>
        <w:numPr>
          <w:ilvl w:val="0"/>
          <w:numId w:val="3"/>
        </w:numPr>
        <w:spacing w:before="60" w:after="0"/>
        <w:ind w:left="284" w:hanging="284"/>
        <w:jc w:val="both"/>
        <w:rPr/>
      </w:pPr>
      <w:r>
        <w:rPr>
          <w:i/>
          <w:color w:val="000090"/>
          <w:lang w:val="pt-BR"/>
        </w:rPr>
        <w:t xml:space="preserve">Não se deve regulamentar mobilidade acadêmica, visto que o tema já é tratado em outras normativas da UFMG. </w:t>
      </w:r>
    </w:p>
    <w:p>
      <w:pPr>
        <w:pStyle w:val="Normal"/>
        <w:numPr>
          <w:ilvl w:val="0"/>
          <w:numId w:val="3"/>
        </w:numPr>
        <w:spacing w:before="60" w:after="0"/>
        <w:ind w:left="284" w:hanging="284"/>
        <w:jc w:val="both"/>
        <w:rPr/>
      </w:pPr>
      <w:r>
        <w:rPr>
          <w:i/>
          <w:color w:val="000090"/>
          <w:lang w:val="pt-BR"/>
        </w:rPr>
        <w:t xml:space="preserve">Não se deve definir fórmulas para cálculo do rendimento acadêmico, uma vez que tal rendimento já é calculado, na instituição, como Nota Semestral Global (NSG). </w:t>
      </w:r>
    </w:p>
    <w:p>
      <w:pPr>
        <w:pStyle w:val="Normal"/>
        <w:numPr>
          <w:ilvl w:val="0"/>
          <w:numId w:val="0"/>
        </w:numPr>
        <w:spacing w:before="60" w:after="0"/>
        <w:ind w:left="720" w:hanging="0"/>
        <w:jc w:val="both"/>
        <w:rPr>
          <w:i/>
          <w:i/>
          <w:color w:val="000090"/>
          <w:highlight w:val="yellow"/>
          <w:lang w:val="pt-BR"/>
        </w:rPr>
      </w:pPr>
      <w:r>
        <w:rPr>
          <w:i/>
          <w:color w:val="000090"/>
          <w:lang w:val="pt-BR"/>
        </w:rPr>
      </w:r>
    </w:p>
    <w:p>
      <w:pPr>
        <w:pStyle w:val="Normal"/>
        <w:spacing w:before="60" w:after="0"/>
        <w:ind w:left="284" w:hanging="284"/>
        <w:jc w:val="both"/>
        <w:rPr>
          <w:i/>
          <w:i/>
          <w:color w:val="000090"/>
          <w:highlight w:val="yellow"/>
          <w:lang w:val="pt-BR"/>
        </w:rPr>
      </w:pPr>
      <w:r>
        <w:rPr>
          <w:i/>
          <w:color w:val="000090"/>
          <w:lang w:val="pt-BR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60" w:after="0"/>
        <w:ind w:left="284" w:hanging="284"/>
        <w:jc w:val="both"/>
        <w:rPr>
          <w:i/>
          <w:i/>
          <w:color w:val="000090"/>
          <w:highlight w:val="yellow"/>
          <w:lang w:val="pt-BR"/>
        </w:rPr>
      </w:pPr>
      <w:r>
        <w:rPr>
          <w:i/>
          <w:color w:val="000090"/>
          <w:lang w:val="pt-BR"/>
        </w:rPr>
      </w:r>
    </w:p>
    <w:p>
      <w:pPr>
        <w:pStyle w:val="Normal"/>
        <w:numPr>
          <w:ilvl w:val="0"/>
          <w:numId w:val="0"/>
        </w:numPr>
        <w:ind w:left="720" w:hanging="0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ind w:left="720" w:hanging="0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ind w:left="720" w:hanging="0"/>
        <w:jc w:val="both"/>
        <w:rPr/>
      </w:pPr>
      <w:r>
        <w:rPr/>
      </w:r>
    </w:p>
    <w:p>
      <w:pPr>
        <w:pStyle w:val="Normal"/>
        <w:jc w:val="both"/>
        <w:rPr>
          <w:i/>
          <w:i/>
          <w:color w:val="000090"/>
          <w:lang w:val="pt-BR"/>
        </w:rPr>
      </w:pPr>
      <w:r>
        <w:rPr>
          <w:i/>
          <w:color w:val="000090"/>
          <w:lang w:val="pt-BR"/>
        </w:rPr>
      </w:r>
    </w:p>
    <w:p>
      <w:pPr>
        <w:pStyle w:val="Normal"/>
        <w:jc w:val="both"/>
        <w:rPr>
          <w:color w:val="000090"/>
          <w:lang w:val="pt-BR"/>
        </w:rPr>
      </w:pPr>
      <w:r>
        <w:rPr/>
      </w:r>
    </w:p>
    <w:sectPr>
      <w:footnotePr>
        <w:numFmt w:val="decimal"/>
      </w:footnote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Lucida Grande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aderodap"/>
        <w:rPr>
          <w:sz w:val="20"/>
          <w:szCs w:val="20"/>
        </w:rPr>
      </w:pPr>
      <w:r>
        <w:rPr>
          <w:rStyle w:val="Caracteresdenotaderodap"/>
        </w:rPr>
        <w:footnoteRef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Lei No 11.788, de 25/09/2008.</w:t>
      </w:r>
    </w:p>
  </w:footnote>
  <w:footnote w:id="3">
    <w:p>
      <w:pPr>
        <w:pStyle w:val="Notaderodap"/>
        <w:rPr>
          <w:sz w:val="20"/>
          <w:szCs w:val="20"/>
        </w:rPr>
      </w:pPr>
      <w:r>
        <w:rPr>
          <w:rStyle w:val="Caracteresdenotaderodap"/>
        </w:rPr>
        <w:footnoteRef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Encontra-se em vigência a Resolução CEPE n</w:t>
      </w:r>
      <w:r>
        <w:rPr>
          <w:sz w:val="20"/>
          <w:szCs w:val="20"/>
          <w:vertAlign w:val="superscript"/>
        </w:rPr>
        <w:t>o</w:t>
      </w:r>
      <w:r>
        <w:rPr>
          <w:sz w:val="20"/>
          <w:szCs w:val="20"/>
        </w:rPr>
        <w:t xml:space="preserve"> 02/2009</w:t>
      </w:r>
    </w:p>
  </w:footnote>
  <w:footnote w:id="4">
    <w:p>
      <w:pPr>
        <w:pStyle w:val="Notaderodap"/>
        <w:rPr/>
      </w:pPr>
      <w:r>
        <w:rPr>
          <w:rStyle w:val="Caracteresdenotaderodap"/>
        </w:rPr>
        <w:footnoteRef/>
      </w:r>
      <w:r>
        <w:rPr>
          <w:rFonts w:eastAsia="Cambria" w:cs="Cambria"/>
          <w:sz w:val="20"/>
          <w:szCs w:val="20"/>
        </w:rPr>
        <w:t xml:space="preserve"> </w:t>
      </w:r>
      <w:r>
        <w:rPr>
          <w:color w:val="404040"/>
          <w:sz w:val="20"/>
          <w:szCs w:val="20"/>
        </w:rPr>
        <w:t xml:space="preserve">Encontra-se em vigência a </w:t>
      </w:r>
      <w:hyperlink r:id="rId1">
        <w:r>
          <w:rPr>
            <w:rStyle w:val="LinkdaInternet"/>
            <w:sz w:val="20"/>
            <w:szCs w:val="20"/>
          </w:rPr>
          <w:t>Resolução CEPE n</w:t>
        </w:r>
        <w:r>
          <w:rPr>
            <w:rStyle w:val="LinkdaInternet"/>
            <w:sz w:val="20"/>
            <w:szCs w:val="20"/>
            <w:vertAlign w:val="superscript"/>
          </w:rPr>
          <w:t>o</w:t>
        </w:r>
        <w:r>
          <w:rPr>
            <w:rStyle w:val="LinkdaInternet"/>
            <w:sz w:val="20"/>
            <w:szCs w:val="20"/>
          </w:rPr>
          <w:t xml:space="preserve"> 10/2018</w:t>
        </w:r>
      </w:hyperlink>
      <w:r>
        <w:rPr>
          <w:color w:val="404040"/>
          <w:sz w:val="20"/>
          <w:szCs w:val="20"/>
        </w:rPr>
        <w:t>.</w:t>
      </w:r>
    </w:p>
  </w:footnote>
  <w:footnote w:id="5">
    <w:p>
      <w:pPr>
        <w:pStyle w:val="Notaderodap"/>
        <w:rPr/>
      </w:pPr>
      <w:r>
        <w:rPr>
          <w:rStyle w:val="Caracteresdenotaderodap"/>
        </w:rPr>
        <w:footnoteRef/>
      </w:r>
      <w:r>
        <w:rPr>
          <w:rFonts w:eastAsia="Cambria" w:cs="Cambria"/>
        </w:rPr>
        <w:t xml:space="preserve"> </w:t>
      </w:r>
      <w:r>
        <w:rPr>
          <w:color w:val="404040"/>
          <w:sz w:val="20"/>
          <w:szCs w:val="20"/>
        </w:rPr>
        <w:t xml:space="preserve">Encontra-se em vigência a </w:t>
      </w:r>
      <w:hyperlink r:id="rId2">
        <w:r>
          <w:rPr>
            <w:rStyle w:val="LinkdaInternet"/>
            <w:sz w:val="20"/>
            <w:szCs w:val="20"/>
          </w:rPr>
          <w:t>Resolução CEPE n</w:t>
        </w:r>
        <w:r>
          <w:rPr>
            <w:rStyle w:val="LinkdaInternet"/>
            <w:sz w:val="20"/>
            <w:szCs w:val="20"/>
            <w:vertAlign w:val="superscript"/>
          </w:rPr>
          <w:t>o</w:t>
        </w:r>
        <w:r>
          <w:rPr>
            <w:rStyle w:val="LinkdaInternet"/>
            <w:sz w:val="20"/>
            <w:szCs w:val="20"/>
          </w:rPr>
          <w:t xml:space="preserve"> 01/2018</w:t>
        </w:r>
      </w:hyperlink>
      <w:r>
        <w:rPr>
          <w:color w:val="404040"/>
          <w:sz w:val="20"/>
          <w:szCs w:val="20"/>
        </w:rPr>
        <w:t xml:space="preserve">. </w:t>
      </w:r>
    </w:p>
  </w:footnote>
  <w:footnote w:id="6">
    <w:p>
      <w:pPr>
        <w:pStyle w:val="Notaderodap"/>
        <w:rPr>
          <w:sz w:val="20"/>
          <w:szCs w:val="20"/>
        </w:rPr>
      </w:pPr>
      <w:r>
        <w:rPr>
          <w:rStyle w:val="Caracteresdenotaderodap"/>
        </w:rPr>
        <w:footnoteRef/>
      </w:r>
      <w:r>
        <w:rPr>
          <w:rFonts w:eastAsia="Cambria" w:cs="Cambria"/>
          <w:color w:val="404040"/>
          <w:sz w:val="20"/>
          <w:szCs w:val="20"/>
        </w:rPr>
        <w:t xml:space="preserve"> </w:t>
      </w:r>
      <w:r>
        <w:rPr>
          <w:rFonts w:eastAsia="Cambria" w:cs="Cambria"/>
          <w:color w:val="404040"/>
          <w:sz w:val="20"/>
          <w:szCs w:val="20"/>
        </w:rPr>
        <w:t xml:space="preserve">Encontra-se em vigência a </w:t>
      </w:r>
      <w:hyperlink r:id="rId3">
        <w:r>
          <w:rPr>
            <w:sz w:val="20"/>
            <w:szCs w:val="20"/>
          </w:rPr>
          <w:t>Resolução CEPE no 06/2019.</w:t>
        </w:r>
      </w:hyperlink>
      <w:r>
        <w:rPr>
          <w:sz w:val="20"/>
          <w:szCs w:val="20"/>
        </w:rPr>
        <w:t xml:space="preserve"> </w:t>
      </w:r>
    </w:p>
  </w:footnote>
  <w:footnote w:id="7">
    <w:p>
      <w:pPr>
        <w:pStyle w:val="Notaderodap"/>
        <w:rPr>
          <w:color w:val="404040"/>
          <w:sz w:val="20"/>
          <w:szCs w:val="20"/>
        </w:rPr>
      </w:pPr>
      <w:r>
        <w:rPr>
          <w:rStyle w:val="Caracteresdenotaderodap"/>
        </w:rPr>
        <w:footnoteRef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Encontra-se em vigência a </w:t>
      </w:r>
      <w:hyperlink r:id="rId4">
        <w:r>
          <w:rPr>
            <w:sz w:val="20"/>
            <w:szCs w:val="20"/>
          </w:rPr>
          <w:t>Resolução CEPE no 04/2019.</w:t>
        </w:r>
      </w:hyperlink>
      <w:r>
        <w:rPr>
          <w:color w:val="404040"/>
          <w:sz w:val="20"/>
          <w:szCs w:val="20"/>
        </w:rPr>
        <w:t xml:space="preserve"> </w:t>
      </w:r>
    </w:p>
  </w:footnote>
  <w:footnote w:id="8">
    <w:p>
      <w:pPr>
        <w:pStyle w:val="Notaderodap"/>
        <w:jc w:val="both"/>
        <w:rPr/>
      </w:pPr>
      <w:r>
        <w:rPr>
          <w:rStyle w:val="Caracteresdenotaderodap"/>
        </w:rPr>
        <w:footnoteRef/>
      </w:r>
      <w:r>
        <w:rPr>
          <w:rFonts w:eastAsia="Cambria" w:cs="Cambria"/>
        </w:rPr>
        <w:t xml:space="preserve"> </w:t>
      </w:r>
      <w:r>
        <w:rPr>
          <w:color w:val="404040"/>
          <w:sz w:val="20"/>
          <w:szCs w:val="20"/>
        </w:rPr>
        <w:t xml:space="preserve">Encontra-se em vigência a </w:t>
      </w:r>
      <w:r>
        <w:rPr>
          <w:rStyle w:val="LinkdaInternet"/>
          <w:sz w:val="20"/>
          <w:szCs w:val="20"/>
        </w:rPr>
        <w:t>Resolução CEPE n</w:t>
      </w:r>
      <w:r>
        <w:rPr>
          <w:rStyle w:val="LinkdaInternet"/>
          <w:sz w:val="20"/>
          <w:szCs w:val="20"/>
          <w:vertAlign w:val="superscript"/>
        </w:rPr>
        <w:t>o</w:t>
      </w:r>
      <w:r>
        <w:rPr>
          <w:rStyle w:val="LinkdaInternet"/>
          <w:sz w:val="20"/>
          <w:szCs w:val="20"/>
        </w:rPr>
        <w:t xml:space="preserve"> 14/2018</w:t>
      </w:r>
      <w:r>
        <w:rPr>
          <w:color w:val="404040"/>
          <w:sz w:val="20"/>
          <w:szCs w:val="20"/>
        </w:rPr>
        <w:t xml:space="preserve">. </w:t>
      </w:r>
    </w:p>
  </w:footnote>
  <w:footnote w:id="9">
    <w:p>
      <w:pPr>
        <w:pStyle w:val="Notaderodap"/>
        <w:rPr/>
      </w:pPr>
      <w:r>
        <w:rPr>
          <w:rStyle w:val="Caracteresdenotaderodap"/>
        </w:rPr>
        <w:footnoteRef/>
      </w:r>
      <w:r>
        <w:rPr/>
        <w:t xml:space="preserve"> </w:t>
      </w:r>
      <w:r>
        <w:rPr>
          <w:color w:val="404040"/>
          <w:sz w:val="20"/>
          <w:szCs w:val="20"/>
        </w:rPr>
        <w:t xml:space="preserve">Encontra-se em vigência a </w:t>
      </w:r>
      <w:r>
        <w:rPr>
          <w:rStyle w:val="LinkdaInternet"/>
          <w:sz w:val="20"/>
          <w:szCs w:val="20"/>
        </w:rPr>
        <w:t>Resolução CEPE n</w:t>
      </w:r>
      <w:r>
        <w:rPr>
          <w:rStyle w:val="LinkdaInternet"/>
          <w:sz w:val="20"/>
          <w:szCs w:val="20"/>
          <w:vertAlign w:val="superscript"/>
        </w:rPr>
        <w:t>o</w:t>
      </w:r>
      <w:r>
        <w:rPr>
          <w:rStyle w:val="LinkdaInternet"/>
          <w:sz w:val="20"/>
          <w:szCs w:val="20"/>
        </w:rPr>
        <w:t xml:space="preserve"> 7/2019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  <w:color w:val="000090"/>
        <w:lang w:val="pt-BR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  <w:color w:val="000090"/>
        <w:lang w:val="pt-BR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  <w:color w:val="000090"/>
        <w:lang w:val="pt-BR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Zen Hei Sharp" w:cs="Lohit Devanagari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mbria" w:hAnsi="Cambria" w:eastAsia="MS Mincho;ＭＳ 明朝" w:cs="Times New Roman"/>
      <w:color w:val="auto"/>
      <w:kern w:val="0"/>
      <w:sz w:val="24"/>
      <w:szCs w:val="24"/>
      <w:lang w:val="en-U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Symbol" w:hAnsi="Symbol" w:cs="Symbol"/>
    </w:rPr>
  </w:style>
  <w:style w:type="character" w:styleId="WW8Num1z2" w:customStyle="1">
    <w:name w:val="WW8Num1z2"/>
    <w:qFormat/>
    <w:rPr>
      <w:rFonts w:ascii="Courier New" w:hAnsi="Courier New" w:cs="Courier New"/>
    </w:rPr>
  </w:style>
  <w:style w:type="character" w:styleId="WW8Num1z3" w:customStyle="1">
    <w:name w:val="WW8Num1z3"/>
    <w:qFormat/>
    <w:rPr>
      <w:rFonts w:ascii="Wingdings" w:hAnsi="Wingdings" w:cs="Wingdings"/>
    </w:rPr>
  </w:style>
  <w:style w:type="character" w:styleId="WW8Num2z0" w:customStyle="1">
    <w:name w:val="WW8Num2z0"/>
    <w:qFormat/>
    <w:rPr>
      <w:rFonts w:ascii="Symbol" w:hAnsi="Symbol" w:cs="Symbol"/>
    </w:rPr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2" w:customStyle="1">
    <w:name w:val="WW8Num2z2"/>
    <w:qFormat/>
    <w:rPr>
      <w:rFonts w:ascii="Wingdings" w:hAnsi="Wingdings" w:cs="Wingdings"/>
    </w:rPr>
  </w:style>
  <w:style w:type="character" w:styleId="WW8Num3z0" w:customStyle="1">
    <w:name w:val="WW8Num3z0"/>
    <w:qFormat/>
    <w:rPr>
      <w:rFonts w:ascii="Symbol" w:hAnsi="Symbol" w:cs="Symbol"/>
      <w:color w:val="000090"/>
      <w:lang w:val="pt-BR"/>
    </w:rPr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2" w:customStyle="1">
    <w:name w:val="WW8Num3z2"/>
    <w:qFormat/>
    <w:rPr>
      <w:rFonts w:ascii="Wingdings" w:hAnsi="Wingdings" w:cs="Wingdings"/>
    </w:rPr>
  </w:style>
  <w:style w:type="character" w:styleId="WW8Num4z0" w:customStyle="1">
    <w:name w:val="WW8Num4z0"/>
    <w:qFormat/>
    <w:rPr>
      <w:rFonts w:ascii="Symbol" w:hAnsi="Symbol" w:cs="Symbol"/>
      <w:color w:val="000090"/>
      <w:lang w:val="pt-BR"/>
    </w:rPr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4z2" w:customStyle="1">
    <w:name w:val="WW8Num4z2"/>
    <w:qFormat/>
    <w:rPr>
      <w:rFonts w:ascii="Wingdings" w:hAnsi="Wingdings" w:cs="Wingdings"/>
    </w:rPr>
  </w:style>
  <w:style w:type="character" w:styleId="WW8Num5z0" w:customStyle="1">
    <w:name w:val="WW8Num5z0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/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>
      <w:rFonts w:ascii="Symbol" w:hAnsi="Symbol" w:cs="Symbol"/>
      <w:color w:val="000090"/>
      <w:lang w:val="pt-BR"/>
    </w:rPr>
  </w:style>
  <w:style w:type="character" w:styleId="WW8Num8z1" w:customStyle="1">
    <w:name w:val="WW8Num8z1"/>
    <w:qFormat/>
    <w:rPr>
      <w:rFonts w:ascii="Courier New" w:hAnsi="Courier New" w:cs="Courier New"/>
    </w:rPr>
  </w:style>
  <w:style w:type="character" w:styleId="WW8Num8z2" w:customStyle="1">
    <w:name w:val="WW8Num8z2"/>
    <w:qFormat/>
    <w:rPr>
      <w:rFonts w:ascii="Wingdings" w:hAnsi="Wingdings" w:cs="Wingdings"/>
    </w:rPr>
  </w:style>
  <w:style w:type="character" w:styleId="Corpodetexto2Char" w:customStyle="1">
    <w:name w:val="Corpo de texto 2 Char"/>
    <w:qFormat/>
    <w:rPr>
      <w:rFonts w:ascii="Times New Roman" w:hAnsi="Times New Roman" w:eastAsia="Times New Roman" w:cs="Times New Roman"/>
      <w:szCs w:val="20"/>
      <w:lang w:val="pt-BR"/>
    </w:rPr>
  </w:style>
  <w:style w:type="character" w:styleId="TextodebaloChar" w:customStyle="1">
    <w:name w:val="Texto de balão Char"/>
    <w:qFormat/>
    <w:rPr>
      <w:rFonts w:ascii="Lucida Grande" w:hAnsi="Lucida Grande" w:cs="Lucida Grande"/>
      <w:sz w:val="18"/>
      <w:szCs w:val="18"/>
    </w:rPr>
  </w:style>
  <w:style w:type="character" w:styleId="Annotationreference">
    <w:name w:val="annotation reference"/>
    <w:qFormat/>
    <w:rPr>
      <w:sz w:val="18"/>
      <w:szCs w:val="18"/>
    </w:rPr>
  </w:style>
  <w:style w:type="character" w:styleId="TextodecomentrioChar" w:customStyle="1">
    <w:name w:val="Texto de comentário Char"/>
    <w:basedOn w:val="DefaultParagraphFont"/>
    <w:qFormat/>
    <w:rPr/>
  </w:style>
  <w:style w:type="character" w:styleId="AssuntodocomentrioChar" w:customStyle="1">
    <w:name w:val="Assunto do comentário Char"/>
    <w:qFormat/>
    <w:rPr>
      <w:b/>
      <w:bCs/>
      <w:sz w:val="20"/>
      <w:szCs w:val="20"/>
    </w:rPr>
  </w:style>
  <w:style w:type="character" w:styleId="TextodenotaderodapChar" w:customStyle="1">
    <w:name w:val="Texto de nota de rodapé Char"/>
    <w:qFormat/>
    <w:rPr>
      <w:sz w:val="24"/>
      <w:szCs w:val="24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2e7743"/>
    <w:rPr>
      <w:vertAlign w:val="superscript"/>
    </w:rPr>
  </w:style>
  <w:style w:type="character" w:styleId="LinkdaInternet">
    <w:name w:val="Link da Internet"/>
    <w:basedOn w:val="DefaultParagraphFont"/>
    <w:uiPriority w:val="99"/>
    <w:semiHidden/>
    <w:unhideWhenUsed/>
    <w:rsid w:val="00b2712f"/>
    <w:rPr>
      <w:color w:val="0000FF"/>
      <w:u w:val="single"/>
    </w:rPr>
  </w:style>
  <w:style w:type="character" w:styleId="Linkdainternetvisitado" w:customStyle="1">
    <w:name w:val="Link da internet visitado"/>
    <w:qFormat/>
    <w:rPr>
      <w:color w:val="800080"/>
      <w:u w:val="single"/>
    </w:rPr>
  </w:style>
  <w:style w:type="character" w:styleId="FootnoteAnchor" w:customStyle="1">
    <w:name w:val="Footnote Anchor"/>
    <w:qFormat/>
    <w:rPr>
      <w:vertAlign w:val="superscript"/>
    </w:rPr>
  </w:style>
  <w:style w:type="character" w:styleId="EndnoteAnchor" w:customStyle="1">
    <w:name w:val="Endnote Anchor"/>
    <w:qFormat/>
    <w:rPr>
      <w:vertAlign w:val="superscript"/>
    </w:rPr>
  </w:style>
  <w:style w:type="character" w:styleId="EndnoteCharacters" w:customStyle="1">
    <w:name w:val="Endnote Characters"/>
    <w:qFormat/>
    <w:rPr/>
  </w:style>
  <w:style w:type="character" w:styleId="Strong">
    <w:name w:val="Strong"/>
    <w:basedOn w:val="DefaultParagraphFont"/>
    <w:uiPriority w:val="22"/>
    <w:qFormat/>
    <w:rsid w:val="00b2712f"/>
    <w:rPr>
      <w:b/>
      <w:bCs/>
    </w:rPr>
  </w:style>
  <w:style w:type="character" w:styleId="Ncoradanotaderodap">
    <w:name w:val="Âncora da nota de rodapé"/>
    <w:rPr>
      <w:vertAlign w:val="superscript"/>
    </w:rPr>
  </w:style>
  <w:style w:type="character" w:styleId="Caracteresdenotaderodap">
    <w:name w:val="Caracteres de nota de rodapé"/>
    <w:qFormat/>
    <w:rPr/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/>
    <w:rPr/>
  </w:style>
  <w:style w:type="paragraph" w:styleId="Ttulo" w:customStyle="1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GradeMdia1nfase21" w:customStyle="1">
    <w:name w:val="Grade Média 1 - Ênfase 21"/>
    <w:basedOn w:val="Normal"/>
    <w:qFormat/>
    <w:pPr>
      <w:spacing w:before="0" w:after="0"/>
      <w:ind w:left="720" w:hanging="0"/>
      <w:contextualSpacing/>
    </w:pPr>
    <w:rPr>
      <w:rFonts w:ascii="Times New Roman" w:hAnsi="Times New Roman" w:eastAsia="Times New Roman"/>
      <w:sz w:val="20"/>
      <w:szCs w:val="20"/>
      <w:lang w:val="pt-BR"/>
    </w:rPr>
  </w:style>
  <w:style w:type="paragraph" w:styleId="BodyText2">
    <w:name w:val="Body Text 2"/>
    <w:basedOn w:val="Normal"/>
    <w:qFormat/>
    <w:pPr>
      <w:jc w:val="both"/>
    </w:pPr>
    <w:rPr>
      <w:rFonts w:ascii="Times New Roman" w:hAnsi="Times New Roman" w:eastAsia="Times New Roman"/>
      <w:sz w:val="20"/>
      <w:szCs w:val="20"/>
      <w:lang w:val="pt-BR"/>
    </w:rPr>
  </w:style>
  <w:style w:type="paragraph" w:styleId="BalloonText">
    <w:name w:val="Balloon Text"/>
    <w:basedOn w:val="Normal"/>
    <w:qFormat/>
    <w:pPr/>
    <w:rPr>
      <w:rFonts w:ascii="Lucida Grande" w:hAnsi="Lucida Grande" w:cs="Lucida Grande"/>
      <w:sz w:val="18"/>
      <w:szCs w:val="18"/>
      <w:lang w:val="pt-BR"/>
    </w:rPr>
  </w:style>
  <w:style w:type="paragraph" w:styleId="Annotationtext">
    <w:name w:val="annotation text"/>
    <w:basedOn w:val="Normal"/>
    <w:qFormat/>
    <w:pPr/>
    <w:rPr/>
  </w:style>
  <w:style w:type="paragraph" w:styleId="Annotationsubject">
    <w:name w:val="annotation subject"/>
    <w:basedOn w:val="Annotationtext"/>
    <w:next w:val="Annotationtext"/>
    <w:qFormat/>
    <w:pPr/>
    <w:rPr>
      <w:b/>
      <w:bCs/>
      <w:sz w:val="20"/>
      <w:szCs w:val="20"/>
      <w:lang w:val="pt-BR"/>
    </w:rPr>
  </w:style>
  <w:style w:type="paragraph" w:styleId="ListaMdia2nfase21" w:customStyle="1">
    <w:name w:val="Lista Média 2 - Ênfase 21"/>
    <w:qFormat/>
    <w:pPr>
      <w:widowControl/>
      <w:bidi w:val="0"/>
      <w:spacing w:before="0" w:after="0"/>
      <w:jc w:val="left"/>
    </w:pPr>
    <w:rPr>
      <w:rFonts w:ascii="Cambria" w:hAnsi="Cambria" w:eastAsia="MS Mincho;ＭＳ 明朝" w:cs="Times New Roman"/>
      <w:color w:val="auto"/>
      <w:kern w:val="0"/>
      <w:sz w:val="24"/>
      <w:szCs w:val="24"/>
      <w:lang w:val="en-US" w:eastAsia="zh-CN" w:bidi="ar-SA"/>
    </w:rPr>
  </w:style>
  <w:style w:type="paragraph" w:styleId="Notaderodap">
    <w:name w:val="Footnote Text"/>
    <w:basedOn w:val="Normal"/>
    <w:pPr/>
    <w:rPr>
      <w:lang w:val="pt-BR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hyperlink" Target="https://www2.ufmg.br/sods/content/download/2301/15780/version/1/file/10rescepe2018+NDE.pdf" TargetMode="External"/><Relationship Id="rId2" Type="http://schemas.openxmlformats.org/officeDocument/2006/relationships/hyperlink" Target="https://www2.ufmg.br/sods/content/download/2311/15820/version/1/file/01rescepe2018+regulamenta+processo+matr&#237;cula.pdf" TargetMode="External"/><Relationship Id="rId3" Type="http://schemas.openxmlformats.org/officeDocument/2006/relationships/hyperlink" Target="https://www2.ufmg.br/sods/content/download/1990/14383/version/1/file/17rescepe2014.pdf" TargetMode="External"/><Relationship Id="rId4" Type="http://schemas.openxmlformats.org/officeDocument/2006/relationships/hyperlink" Target="https://www2.ufmg.br/sods/content/download/1990/14383/version/1/file/17rescepe2014.pdf" TargetMode="Externa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4CA6E-2B39-4A30-8F29-087378F1C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Application>LibreOffice/6.4.0.3$Windows_X86_64 LibreOffice_project/b0a288ab3d2d4774cb44b62f04d5d28733ac6df8</Application>
  <Pages>9</Pages>
  <Words>2749</Words>
  <Characters>15299</Characters>
  <CharactersWithSpaces>17961</CharactersWithSpaces>
  <Paragraphs>152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2020-05-12T14:32:00Z</dcterms:created>
  <dc:creator>Bruno Teixeira</dc:creator>
  <dc:description/>
  <dc:language>pt-BR</dc:language>
  <cp:lastModifiedBy/>
  <cp:lastPrinted>2018-08-17T09:16:00Z</cp:lastPrinted>
  <dcterms:modified xsi:type="dcterms:W3CDTF">2024-01-08T15:45:33Z</dcterms:modified>
  <cp:revision>67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