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2768" w14:textId="77777777" w:rsidR="009A4CAD" w:rsidRDefault="00996CA9">
      <w:pPr>
        <w:spacing w:after="3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14:paraId="5315B5AC" w14:textId="77777777" w:rsidR="009A4CAD" w:rsidRDefault="00996CA9">
      <w:pPr>
        <w:spacing w:after="0"/>
        <w:ind w:right="63"/>
        <w:jc w:val="center"/>
      </w:pPr>
      <w:proofErr w:type="spellStart"/>
      <w:r>
        <w:rPr>
          <w:rFonts w:ascii="Malgun Gothic" w:eastAsia="Malgun Gothic" w:hAnsi="Malgun Gothic" w:cs="Malgun Gothic"/>
          <w:b/>
        </w:rPr>
        <w:t>Check-list</w:t>
      </w:r>
      <w:proofErr w:type="spellEnd"/>
      <w:r>
        <w:rPr>
          <w:rFonts w:ascii="Malgun Gothic" w:eastAsia="Malgun Gothic" w:hAnsi="Malgun Gothic" w:cs="Malgun Gothic"/>
          <w:b/>
        </w:rPr>
        <w:t xml:space="preserve">  </w:t>
      </w:r>
    </w:p>
    <w:p w14:paraId="02E75FD4" w14:textId="77777777" w:rsidR="009A4CAD" w:rsidRDefault="00996CA9">
      <w:pPr>
        <w:spacing w:after="0"/>
        <w:ind w:left="11"/>
        <w:jc w:val="center"/>
      </w:pPr>
      <w:r>
        <w:rPr>
          <w:rFonts w:ascii="Malgun Gothic" w:eastAsia="Malgun Gothic" w:hAnsi="Malgun Gothic" w:cs="Malgun Gothic"/>
          <w:b/>
        </w:rPr>
        <w:t xml:space="preserve"> </w:t>
      </w:r>
    </w:p>
    <w:p w14:paraId="0154016A" w14:textId="77777777" w:rsidR="009A4CAD" w:rsidRDefault="00996CA9">
      <w:pPr>
        <w:pStyle w:val="Ttulo1"/>
      </w:pPr>
      <w:r>
        <w:t xml:space="preserve">CONTRATO DE CESSÃO DE DIREITOS SOBRE PATENTE </w:t>
      </w:r>
    </w:p>
    <w:p w14:paraId="0EC6F83C" w14:textId="77777777" w:rsidR="009A4CAD" w:rsidRDefault="00996CA9">
      <w:pPr>
        <w:spacing w:after="0"/>
        <w:ind w:right="69"/>
        <w:jc w:val="center"/>
      </w:pPr>
      <w:r>
        <w:rPr>
          <w:rFonts w:ascii="Malgun Gothic" w:eastAsia="Malgun Gothic" w:hAnsi="Malgun Gothic" w:cs="Malgun Gothic"/>
          <w:b/>
          <w:sz w:val="20"/>
        </w:rPr>
        <w:t xml:space="preserve">(ICT e instituição privada ou pública, com a interveniência de Fundação de Apoio) </w:t>
      </w:r>
    </w:p>
    <w:p w14:paraId="022DCD2B" w14:textId="77777777" w:rsidR="009A4CAD" w:rsidRDefault="00996CA9">
      <w:pPr>
        <w:spacing w:after="0"/>
        <w:ind w:left="2"/>
      </w:pPr>
      <w:r>
        <w:rPr>
          <w:rFonts w:ascii="Malgun Gothic" w:eastAsia="Malgun Gothic" w:hAnsi="Malgun Gothic" w:cs="Malgun Gothic"/>
          <w:sz w:val="18"/>
        </w:rPr>
        <w:t xml:space="preserve"> </w:t>
      </w:r>
      <w:r>
        <w:rPr>
          <w:rFonts w:ascii="Malgun Gothic" w:eastAsia="Malgun Gothic" w:hAnsi="Malgun Gothic" w:cs="Malgun Gothic"/>
          <w:sz w:val="18"/>
        </w:rPr>
        <w:tab/>
        <w:t xml:space="preserve"> </w:t>
      </w:r>
    </w:p>
    <w:p w14:paraId="322493E4" w14:textId="77777777" w:rsidR="009A4CAD" w:rsidRDefault="00996CA9">
      <w:pPr>
        <w:spacing w:after="0"/>
        <w:jc w:val="right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404A5061" w14:textId="77777777" w:rsidR="009A4CAD" w:rsidRDefault="00996CA9">
      <w:pPr>
        <w:pStyle w:val="Ttulo2"/>
      </w:pPr>
      <w:r>
        <w:t xml:space="preserve">NUP: _______________________ </w:t>
      </w:r>
    </w:p>
    <w:p w14:paraId="7DFA5EE1" w14:textId="77777777" w:rsidR="009A4CAD" w:rsidRDefault="00996CA9">
      <w:pPr>
        <w:spacing w:after="0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p w14:paraId="0916EAC2" w14:textId="77777777" w:rsidR="009A4CAD" w:rsidRDefault="00996CA9">
      <w:pPr>
        <w:spacing w:after="4" w:line="250" w:lineRule="auto"/>
        <w:ind w:left="-5" w:right="52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Contrato de cessão</w:t>
      </w:r>
      <w:r>
        <w:rPr>
          <w:rFonts w:ascii="Malgun Gothic" w:eastAsia="Malgun Gothic" w:hAnsi="Malgun Gothic" w:cs="Malgun Gothic"/>
          <w:sz w:val="20"/>
        </w:rPr>
        <w:t xml:space="preserve">: Trata-se de uma das espécies de contrato que se incluem no gênero transferência de tecnologia. Aplica-se, necessariamente, às hipóteses de cessão, em caráter definitivo, de direitos sobre propriedade intelectual protegida (patentes depositadas e patentes já concedidas). Há duas hipóteses previstas na lei: a cessão ao criador, que se dará de forma não onerosa; e a cessão a terceiros, que se dará de forma necessariamente remunerada. </w:t>
      </w:r>
    </w:p>
    <w:p w14:paraId="4F38C242" w14:textId="77777777" w:rsidR="009A4CAD" w:rsidRDefault="00996CA9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4F813724" w14:textId="77777777" w:rsidR="009A4CAD" w:rsidRDefault="00996CA9">
      <w:pPr>
        <w:spacing w:after="4" w:line="250" w:lineRule="auto"/>
        <w:ind w:left="-5" w:right="52" w:hanging="10"/>
        <w:jc w:val="both"/>
      </w:pPr>
      <w:r>
        <w:rPr>
          <w:rFonts w:ascii="Malgun Gothic" w:eastAsia="Malgun Gothic" w:hAnsi="Malgun Gothic" w:cs="Malgun Gothic"/>
          <w:sz w:val="20"/>
          <w:u w:val="single" w:color="000000"/>
        </w:rPr>
        <w:t>Base legal</w:t>
      </w:r>
      <w:r>
        <w:rPr>
          <w:rFonts w:ascii="Malgun Gothic" w:eastAsia="Malgun Gothic" w:hAnsi="Malgun Gothic" w:cs="Malgun Gothic"/>
          <w:sz w:val="20"/>
        </w:rPr>
        <w:t>: Artigo 11 da Lei nº 10.973/2004 e art. 13 do Decreto n</w:t>
      </w:r>
      <w:r>
        <w:rPr>
          <w:rFonts w:ascii="Malgun Gothic" w:eastAsia="Malgun Gothic" w:hAnsi="Malgun Gothic" w:cs="Malgun Gothic"/>
        </w:rPr>
        <w:t xml:space="preserve">º 9.283/18 </w:t>
      </w:r>
    </w:p>
    <w:p w14:paraId="2B2D3FC3" w14:textId="77777777" w:rsidR="009A4CAD" w:rsidRDefault="00996CA9">
      <w:pPr>
        <w:spacing w:after="0"/>
        <w:ind w:right="3"/>
        <w:jc w:val="center"/>
      </w:pPr>
      <w:r>
        <w:rPr>
          <w:rFonts w:ascii="Malgun Gothic" w:eastAsia="Malgun Gothic" w:hAnsi="Malgun Gothic" w:cs="Malgun Gothic"/>
          <w:sz w:val="18"/>
        </w:rPr>
        <w:t xml:space="preserve"> </w:t>
      </w:r>
    </w:p>
    <w:tbl>
      <w:tblPr>
        <w:tblStyle w:val="TableGrid"/>
        <w:tblW w:w="9567" w:type="dxa"/>
        <w:tblInd w:w="-66" w:type="dxa"/>
        <w:tblCellMar>
          <w:top w:w="86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9"/>
        <w:gridCol w:w="1416"/>
      </w:tblGrid>
      <w:tr w:rsidR="009A4CAD" w14:paraId="526FDA54" w14:textId="77777777">
        <w:trPr>
          <w:trHeight w:val="3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3F6" w14:textId="77777777" w:rsidR="009A4CAD" w:rsidRDefault="00996CA9">
            <w:pPr>
              <w:ind w:left="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Nº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8DC" w14:textId="77777777" w:rsidR="009A4CAD" w:rsidRDefault="00996CA9">
            <w:pPr>
              <w:ind w:right="75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Documentação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6502" w14:textId="77777777" w:rsidR="009A4CAD" w:rsidRDefault="00996CA9">
            <w:pPr>
              <w:ind w:right="69"/>
              <w:jc w:val="center"/>
            </w:pPr>
            <w:r>
              <w:rPr>
                <w:rFonts w:ascii="Malgun Gothic" w:eastAsia="Malgun Gothic" w:hAnsi="Malgun Gothic" w:cs="Malgun Gothic"/>
                <w:b/>
                <w:sz w:val="18"/>
              </w:rPr>
              <w:t>OBS</w:t>
            </w: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520194A7" w14:textId="77777777">
        <w:trPr>
          <w:trHeight w:val="1047"/>
        </w:trPr>
        <w:tc>
          <w:tcPr>
            <w:tcW w:w="8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817A68D" w14:textId="77777777" w:rsidR="009A4CAD" w:rsidRDefault="00996CA9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2E5D477D" w14:textId="77777777" w:rsidR="009A4CAD" w:rsidRDefault="00996CA9">
            <w:pPr>
              <w:ind w:right="341"/>
              <w:jc w:val="right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PROVIDENCIADOS PELA ICT CEDENTE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B8C5F33" w14:textId="77777777" w:rsidR="009A4CAD" w:rsidRDefault="00996CA9">
            <w:pPr>
              <w:ind w:left="1414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D0ABB" w14:textId="77777777" w:rsidR="009A4CAD" w:rsidRDefault="009A4CAD"/>
        </w:tc>
      </w:tr>
      <w:tr w:rsidR="009A4CAD" w14:paraId="234C5DBC" w14:textId="77777777">
        <w:trPr>
          <w:trHeight w:val="17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BA03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DBC9" w14:textId="77777777" w:rsidR="009A4CAD" w:rsidRDefault="00996CA9">
            <w:pPr>
              <w:ind w:left="2" w:right="70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Abertura de processo administrativo devidamente autuado, protocolado e numerado (Lei nº 9.784/1999, art. 22, § 4º c/c art. 38, caput, Lei 8.666/93). (Informar caso se trate de processo encaminhado via sistema eletrônico de informações - SEI). </w:t>
            </w:r>
          </w:p>
          <w:p w14:paraId="1AE86791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EC55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1B8C1499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BB81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546" w14:textId="77777777" w:rsidR="009A4CAD" w:rsidRDefault="00996CA9">
            <w:pPr>
              <w:spacing w:line="242" w:lineRule="auto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com demonstração do interesse público (art. 50, Lei nº 9.784/1999). </w:t>
            </w:r>
          </w:p>
          <w:p w14:paraId="59C4A700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8A28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7131FC35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2EB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A32" w14:textId="77777777" w:rsidR="009A4CAD" w:rsidRDefault="00996CA9">
            <w:pPr>
              <w:ind w:right="7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Aprovação da contratação pelo órgão ou autoridade máxima da ICT (verificar a necessidade de solicitar a juntada de norma interna da ICT que disponha sobre delegação de competência para a prática deste ato). </w:t>
            </w:r>
          </w:p>
          <w:p w14:paraId="0E25FE6D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6267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33CF558" w14:textId="77777777">
        <w:trPr>
          <w:trHeight w:val="13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196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35C" w14:textId="77777777" w:rsidR="009A4CAD" w:rsidRDefault="00996CA9">
            <w:pPr>
              <w:ind w:left="2" w:right="6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Justificativa contemplando e especificando a situação de dispensa prevista no art. 24, XXV, da Lei nº 8.666/93, apresentando os elementos necessários à sua configuração, naquilo que couber, conforme disposto no art. 26, </w:t>
            </w:r>
            <w:r>
              <w:rPr>
                <w:rFonts w:ascii="Malgun Gothic" w:eastAsia="Malgun Gothic" w:hAnsi="Malgun Gothic" w:cs="Malgun Gothic"/>
                <w:sz w:val="21"/>
              </w:rPr>
              <w:t>caput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, e parágrafo único da Lei nº 8.666/93.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6F48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2080BC3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928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05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47F" w14:textId="77777777" w:rsidR="009A4CAD" w:rsidRDefault="00996CA9">
            <w:pPr>
              <w:ind w:left="2" w:right="73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No caso de cessão a terceiro, a contratação deverá ser precedida de ampla publicidade no sítio eletrônico oficial da ICT pública, na forma estabelecida em sua política de inovação (art. 13, § 3º, do Decreto nº 9.283/2018).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621F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69B82323" w14:textId="77777777" w:rsidR="009A4CAD" w:rsidRDefault="009A4CAD">
      <w:pPr>
        <w:spacing w:after="0"/>
        <w:ind w:left="-1416" w:right="10839"/>
      </w:pPr>
    </w:p>
    <w:tbl>
      <w:tblPr>
        <w:tblStyle w:val="TableGrid"/>
        <w:tblW w:w="9567" w:type="dxa"/>
        <w:tblInd w:w="-66" w:type="dxa"/>
        <w:tblCellMar>
          <w:top w:w="86" w:type="dxa"/>
          <w:left w:w="67" w:type="dxa"/>
          <w:right w:w="2" w:type="dxa"/>
        </w:tblCellMar>
        <w:tblLook w:val="04A0" w:firstRow="1" w:lastRow="0" w:firstColumn="1" w:lastColumn="0" w:noHBand="0" w:noVBand="1"/>
      </w:tblPr>
      <w:tblGrid>
        <w:gridCol w:w="392"/>
        <w:gridCol w:w="7758"/>
        <w:gridCol w:w="1417"/>
      </w:tblGrid>
      <w:tr w:rsidR="009A4CAD" w14:paraId="63DBC4BA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D3C0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504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parecer técnico do Núcleo de Inovação Tecnológica – NIT (art. 16, §1º, IX e X da Lei nº 10.973/2004) a respeito da contratação.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833E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1DC3E537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04C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639" w14:textId="77777777" w:rsidR="009A4CAD" w:rsidRDefault="00996CA9">
            <w:pPr>
              <w:ind w:right="74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Comunicação à autoridade superior, no prazo de 3 (três) dias, do ato que autorizou a dispensa, para fins de ratificação e publicação na imprensa oficial, no prazo de 5 (cinco) dias.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5C3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326DDF7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2D9E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0E7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Juntada de minuta de contrato.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9D86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179C0475" w14:textId="77777777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716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09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895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Previsão, se for o caso, de recursos orçamentários, com indicação das respectivas rubricas.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40F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5EE38E02" w14:textId="77777777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A809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F91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Exame e aprovação da minuta de contrato pela Procuradoria Federal junto à entidade.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2F8A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46E7825" w14:textId="77777777">
        <w:trPr>
          <w:trHeight w:val="1010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CBCA80" w14:textId="77777777" w:rsidR="009A4CAD" w:rsidRDefault="00996CA9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5724804B" w14:textId="77777777" w:rsidR="009A4CAD" w:rsidRDefault="00996CA9">
            <w:pPr>
              <w:ind w:right="74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DOCUMENTOS A SEREM OBTIDOS JUNTO AO(À) CESSIONÁRIO(A)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2E5A9763" w14:textId="77777777" w:rsidR="009A4CAD" w:rsidRDefault="00996CA9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36BB0800" w14:textId="77777777">
        <w:trPr>
          <w:trHeight w:val="10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2B5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9FD8" w14:textId="77777777" w:rsidR="009A4CAD" w:rsidRDefault="00996CA9">
            <w:pPr>
              <w:ind w:left="2" w:right="71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requisitos de habilitação jurídica (art. 28, Lei nº 8.666/1993) – Inclusive para conferência dos poderes do representante do cessionário (art. 28, Lei nº 8.666/1993).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F24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5DF05C51" w14:textId="77777777">
        <w:trPr>
          <w:trHeight w:val="3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A03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0FE7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>Comprovação de regularidade fiscal (Art. 12, § 5º, I, do Decreto 9.283/2018)</w:t>
            </w:r>
            <w:r>
              <w:rPr>
                <w:rFonts w:ascii="Malgun Gothic" w:eastAsia="Malgun Gothic" w:hAnsi="Malgun Gothic" w:cs="Malgun Gothic"/>
                <w:color w:val="FF000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F074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289E9F7F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8E2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0CE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Ato constitutivo da empresa ou ICT privada (estatuto ou contrato social em vigor) (art. 28, inciso III, da Lei nº 8.666/1993); ou equivalente, se empresa estrangeira.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F521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093726E1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A0ED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A37A" w14:textId="77777777" w:rsidR="009A4CAD" w:rsidRDefault="00996CA9">
            <w:pPr>
              <w:spacing w:line="241" w:lineRule="auto"/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do representante legal do cessionário – pessoa que assinará o contrato (RG, CPF e Comprovante de Residência + Ata de Nomeação, Termo de Posse ou documentos correlatos, no caso de entidade estrangeira). </w:t>
            </w:r>
          </w:p>
          <w:p w14:paraId="28AF5112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988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47B93113" w14:textId="77777777">
        <w:trPr>
          <w:trHeight w:val="10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B81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2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Comprovação de inscrição no Cadastro Nacional da Pessoa Jurídica – CNPJ, se empresa nacional. </w:t>
            </w:r>
          </w:p>
          <w:p w14:paraId="44E56211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FC92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559FC188" w14:textId="77777777">
        <w:trPr>
          <w:trHeight w:val="1357"/>
        </w:trPr>
        <w:tc>
          <w:tcPr>
            <w:tcW w:w="9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9C7D0C" w14:textId="77777777" w:rsidR="009A4CAD" w:rsidRDefault="00996CA9">
            <w:pPr>
              <w:ind w:right="2"/>
              <w:jc w:val="center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5C75F259" w14:textId="77777777" w:rsidR="009A4CAD" w:rsidRDefault="00996CA9">
            <w:pPr>
              <w:ind w:left="83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 xml:space="preserve">DOCUMENTOS A SEREM OBTIDOS JUNTO À FUNDAÇÃO DE APOIO (se houver interveniência da </w:t>
            </w:r>
          </w:p>
          <w:p w14:paraId="33DF3AFE" w14:textId="77777777" w:rsidR="009A4CAD" w:rsidRDefault="00996CA9">
            <w:pPr>
              <w:ind w:right="68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FA)</w:t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15E6E304" w14:textId="77777777" w:rsidR="009A4CAD" w:rsidRDefault="00996CA9">
            <w:pPr>
              <w:ind w:right="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72CEBE8" w14:textId="77777777">
        <w:trPr>
          <w:trHeight w:val="20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5745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lastRenderedPageBreak/>
              <w:t xml:space="preserve">16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C3E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Ato de constituição/ habilitação jurídica (art. 28, Lei nº 8.666/1993) </w:t>
            </w:r>
          </w:p>
          <w:p w14:paraId="0EFDF8D7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14:paraId="403FFA11" w14:textId="77777777" w:rsidR="009A4CAD" w:rsidRDefault="00996CA9">
            <w:pPr>
              <w:spacing w:after="2"/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>Estatuto social da Fundação de Apoio, comprovando finalidade não lucrativa e de ser incumbida, regimental ou estatutariamente, da pesquisa, do ensino ou do desenvolvimento institucional, científico e tecnológico.</w:t>
            </w:r>
            <w:r>
              <w:rPr>
                <w:rFonts w:ascii="Malgun Gothic" w:eastAsia="Malgun Gothic" w:hAnsi="Malgun Gothic" w:cs="Malgun Gothic"/>
                <w:color w:val="FF0000"/>
                <w:sz w:val="20"/>
              </w:rPr>
              <w:t xml:space="preserve"> </w:t>
            </w:r>
          </w:p>
          <w:p w14:paraId="71692D39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5BF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247719FE" w14:textId="77777777">
        <w:trPr>
          <w:trHeight w:val="13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164C" w14:textId="77777777" w:rsidR="009A4CAD" w:rsidRDefault="00996CA9">
            <w:pPr>
              <w:ind w:left="16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347C" w14:textId="77777777" w:rsidR="009A4CAD" w:rsidRDefault="00996CA9">
            <w:pPr>
              <w:ind w:left="2" w:right="74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Documentação do Responsável Legal da FUNDAÇÃO DE APOIO – pessoa que irá assinar o Termo (RG, CPF e Comprovante de Residência + Ata de Nomeação, Termo de Posse ou documento correlato). </w:t>
            </w:r>
          </w:p>
          <w:p w14:paraId="72F92879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A955" w14:textId="77777777" w:rsidR="009A4CAD" w:rsidRDefault="00996CA9">
            <w:pPr>
              <w:ind w:right="7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0B4E5B9E" w14:textId="77777777">
        <w:trPr>
          <w:trHeight w:val="13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DF46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42C" w14:textId="77777777" w:rsidR="009A4CAD" w:rsidRDefault="00996CA9">
            <w:pPr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Registro e credenciamento junto ao MEC/MCTI e autorização para apoiar, em sendo o caso (art. 4º, §2º, Decreto nº 7.423/2010, art. 4º, I, Portaria Interministerial </w:t>
            </w:r>
          </w:p>
          <w:p w14:paraId="4E3E781C" w14:textId="77777777" w:rsidR="009A4CAD" w:rsidRDefault="00996CA9">
            <w:pPr>
              <w:ind w:left="2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MEC/MCTI nº 191, de 13 de março de 2012 e art. 2º, III, Lei nº 8.958/1994) </w:t>
            </w:r>
          </w:p>
          <w:p w14:paraId="4D92B8FE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B48E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0D3F70DE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806F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19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976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Justificativa para a contratação (caso exista mais que uma Fundação) </w:t>
            </w:r>
          </w:p>
          <w:p w14:paraId="4B732D96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7F0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3073FA6D" w14:textId="77777777">
        <w:trPr>
          <w:trHeight w:val="13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D7C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77AA" w14:textId="77777777" w:rsidR="009A4CAD" w:rsidRDefault="00996CA9">
            <w:pPr>
              <w:spacing w:after="1"/>
              <w:ind w:left="2" w:right="78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Proposta da Fundação de Apoio, demonstrando os seus serviços de apoio, contendo, inclusive, a planilha demonstrativa dos seus custos operacionais incorridos na execução de suas atividades. </w:t>
            </w:r>
          </w:p>
          <w:p w14:paraId="53AA7186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076F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6163E934" w14:textId="77777777">
        <w:trPr>
          <w:trHeight w:val="1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FDEA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D6F" w14:textId="77777777" w:rsidR="009A4CAD" w:rsidRDefault="00996CA9">
            <w:pPr>
              <w:ind w:left="2" w:right="7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Plano de Trabalho, contemplando os requisitos mínimos previstos no § 1º do art. 6º do Decreto nº 7.423/10, bem ainda os §§ 2º a 13 do referido dispositivo, no que couber.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D07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36D9FE6D" w14:textId="77777777">
        <w:trPr>
          <w:trHeight w:val="10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4A8E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FB30" w14:textId="77777777" w:rsidR="009A4CAD" w:rsidRDefault="00996CA9">
            <w:pPr>
              <w:spacing w:after="2"/>
              <w:ind w:left="2" w:hanging="2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Declaração de reputação ético-profissional (art. 24, XIII, Lei nº 8.666/93) e de capacidade técnica-financeira para bem executar o objeto contratado. </w:t>
            </w:r>
          </w:p>
          <w:p w14:paraId="222F0C7F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67D" w14:textId="77777777" w:rsidR="009A4CAD" w:rsidRDefault="00996CA9"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0B665477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B19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8435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Comprovação da regularidade fiscal e trabalhista (art. 29, Lei nº 8.666/1993) </w:t>
            </w:r>
          </w:p>
          <w:p w14:paraId="0C83D533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73E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48545A79" w14:textId="77777777">
        <w:trPr>
          <w:trHeight w:val="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22E2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2726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Consulta aos sistemas de penalidades – CEIS, CNJ e TCU  </w:t>
            </w:r>
          </w:p>
          <w:p w14:paraId="1BD097C7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5EE6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  <w:tr w:rsidR="009A4CAD" w14:paraId="7CB1C79E" w14:textId="77777777">
        <w:trPr>
          <w:trHeight w:val="7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148" w14:textId="77777777" w:rsidR="009A4CAD" w:rsidRDefault="00996CA9">
            <w:pPr>
              <w:ind w:left="17"/>
              <w:jc w:val="both"/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25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261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Consulta ao CADIN (art. 6º, Lei nº 10.522/2002) </w:t>
            </w:r>
          </w:p>
          <w:p w14:paraId="68488A4E" w14:textId="77777777" w:rsidR="009A4CAD" w:rsidRDefault="00996CA9">
            <w:r>
              <w:rPr>
                <w:rFonts w:ascii="Malgun Gothic" w:eastAsia="Malgun Gothic" w:hAnsi="Malgun Gothic" w:cs="Malgun Gothic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EB9" w14:textId="77777777" w:rsidR="009A4CAD" w:rsidRDefault="00996CA9">
            <w:pPr>
              <w:ind w:right="9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 xml:space="preserve"> </w:t>
            </w:r>
          </w:p>
        </w:tc>
      </w:tr>
    </w:tbl>
    <w:p w14:paraId="4B44057D" w14:textId="77777777" w:rsidR="009A4CAD" w:rsidRDefault="00996CA9">
      <w:pPr>
        <w:spacing w:after="137"/>
      </w:pPr>
      <w:r>
        <w:rPr>
          <w:rFonts w:ascii="Malgun Gothic" w:eastAsia="Malgun Gothic" w:hAnsi="Malgun Gothic" w:cs="Malgun Gothic"/>
          <w:sz w:val="8"/>
        </w:rPr>
        <w:t xml:space="preserve"> </w:t>
      </w:r>
    </w:p>
    <w:p w14:paraId="0B936774" w14:textId="77777777" w:rsidR="009A4CAD" w:rsidRDefault="00996CA9">
      <w:pPr>
        <w:spacing w:after="0"/>
      </w:pPr>
      <w:r>
        <w:rPr>
          <w:rFonts w:ascii="Malgun Gothic" w:eastAsia="Malgun Gothic" w:hAnsi="Malgun Gothic" w:cs="Malgun Gothic"/>
          <w:sz w:val="20"/>
        </w:rPr>
        <w:t xml:space="preserve"> </w:t>
      </w:r>
    </w:p>
    <w:p w14:paraId="30F474DB" w14:textId="77777777" w:rsidR="009A4CAD" w:rsidRDefault="00996CA9">
      <w:pPr>
        <w:spacing w:after="3" w:line="244" w:lineRule="auto"/>
        <w:ind w:left="-3" w:right="45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1) CABE ÀS DIRETORIAS,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18"/>
        </w:rPr>
        <w:t>NITs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E/OU ÁREAS TÉCNICAS OBSERVAR SE, ALÉM DOS DOCUMENTOS ORA ARROLADOS, OUTROS SÃO NECESSÁRIOS PARA COMPLEMENTAR A INSTRUÇÃO PROCESSUAL.  (Esses documentos dependem de cada caso concreto e da regulamentação interna da Instituição, especialmente da respectiva Política de Inovação – </w:t>
      </w:r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art. 6º, caput do Decreto n º 7.423/10).  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14:paraId="2D33B360" w14:textId="77777777" w:rsidR="009A4CAD" w:rsidRDefault="00996CA9">
      <w:pPr>
        <w:spacing w:after="0"/>
      </w:pPr>
      <w:r>
        <w:rPr>
          <w:rFonts w:ascii="Times New Roman" w:eastAsia="Times New Roman" w:hAnsi="Times New Roman" w:cs="Times New Roman"/>
          <w:color w:val="FF0000"/>
          <w:sz w:val="18"/>
        </w:rPr>
        <w:lastRenderedPageBreak/>
        <w:t xml:space="preserve"> </w:t>
      </w:r>
    </w:p>
    <w:p w14:paraId="33753E18" w14:textId="77777777" w:rsidR="009A4CAD" w:rsidRDefault="00996CA9">
      <w:pPr>
        <w:spacing w:after="3" w:line="244" w:lineRule="auto"/>
        <w:ind w:left="-3" w:right="45" w:hanging="12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OBS. 2) A AUSÊNCIA DE QUALQUER DOS DOCUMENTOS LISTADOS NO </w:t>
      </w:r>
      <w:r>
        <w:rPr>
          <w:rFonts w:ascii="Times New Roman" w:eastAsia="Times New Roman" w:hAnsi="Times New Roman" w:cs="Times New Roman"/>
          <w:b/>
          <w:i/>
          <w:sz w:val="18"/>
        </w:rPr>
        <w:t>CHECK LIST</w:t>
      </w:r>
      <w:r>
        <w:rPr>
          <w:rFonts w:ascii="Times New Roman" w:eastAsia="Times New Roman" w:hAnsi="Times New Roman" w:cs="Times New Roman"/>
          <w:b/>
          <w:sz w:val="18"/>
        </w:rPr>
        <w:t xml:space="preserve"> DEVERÁ SER JUSTIFICADA PELA AUTORIDADE COMPETENTE.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9A4CAD">
      <w:headerReference w:type="even" r:id="rId6"/>
      <w:headerReference w:type="default" r:id="rId7"/>
      <w:headerReference w:type="first" r:id="rId8"/>
      <w:pgSz w:w="11906" w:h="16841"/>
      <w:pgMar w:top="1985" w:right="1067" w:bottom="946" w:left="1416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AC41" w14:textId="77777777" w:rsidR="007C2645" w:rsidRDefault="007C2645">
      <w:pPr>
        <w:spacing w:after="0" w:line="240" w:lineRule="auto"/>
      </w:pPr>
      <w:r>
        <w:separator/>
      </w:r>
    </w:p>
  </w:endnote>
  <w:endnote w:type="continuationSeparator" w:id="0">
    <w:p w14:paraId="2B593DFE" w14:textId="77777777" w:rsidR="007C2645" w:rsidRDefault="007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3C290" w14:textId="77777777" w:rsidR="007C2645" w:rsidRDefault="007C2645">
      <w:pPr>
        <w:spacing w:after="0" w:line="240" w:lineRule="auto"/>
      </w:pPr>
      <w:r>
        <w:separator/>
      </w:r>
    </w:p>
  </w:footnote>
  <w:footnote w:type="continuationSeparator" w:id="0">
    <w:p w14:paraId="68D27EE2" w14:textId="77777777" w:rsidR="007C2645" w:rsidRDefault="007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0552" w14:textId="77777777" w:rsidR="009A4CAD" w:rsidRDefault="00996CA9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4F6413" wp14:editId="44BED7FC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EE8FC32" w14:textId="77777777" w:rsidR="009A4CAD" w:rsidRDefault="00996CA9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0B1FE91A" w14:textId="77777777" w:rsidR="009A4CAD" w:rsidRDefault="00996CA9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6F3A" w14:textId="77777777" w:rsidR="009A4CAD" w:rsidRDefault="00996CA9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870C964" wp14:editId="49EB0248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05C568" w14:textId="77777777" w:rsidR="009A4CAD" w:rsidRDefault="00996CA9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65730F9B" w14:textId="77777777" w:rsidR="009A4CAD" w:rsidRDefault="00996CA9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26D9" w14:textId="77777777" w:rsidR="009A4CAD" w:rsidRDefault="00996CA9">
    <w:pPr>
      <w:spacing w:after="396"/>
      <w:ind w:right="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C34EC9" wp14:editId="7AB24B8F">
          <wp:simplePos x="0" y="0"/>
          <wp:positionH relativeFrom="page">
            <wp:posOffset>3665220</wp:posOffset>
          </wp:positionH>
          <wp:positionV relativeFrom="page">
            <wp:posOffset>454025</wp:posOffset>
          </wp:positionV>
          <wp:extent cx="410210" cy="44958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941F43" w14:textId="77777777" w:rsidR="009A4CAD" w:rsidRDefault="00996CA9">
    <w:pPr>
      <w:spacing w:after="0"/>
      <w:ind w:right="62"/>
      <w:jc w:val="center"/>
    </w:pPr>
    <w:r>
      <w:rPr>
        <w:rFonts w:ascii="Malgun Gothic" w:eastAsia="Malgun Gothic" w:hAnsi="Malgun Gothic" w:cs="Malgun Gothic"/>
        <w:sz w:val="16"/>
      </w:rPr>
      <w:t xml:space="preserve">ADVOCACIA-GERAL DA UNIÃO </w:t>
    </w:r>
  </w:p>
  <w:p w14:paraId="31800B4F" w14:textId="77777777" w:rsidR="009A4CAD" w:rsidRDefault="00996CA9">
    <w:pPr>
      <w:spacing w:after="0"/>
      <w:ind w:right="61"/>
      <w:jc w:val="center"/>
    </w:pPr>
    <w:r>
      <w:rPr>
        <w:rFonts w:ascii="Malgun Gothic" w:eastAsia="Malgun Gothic" w:hAnsi="Malgun Gothic" w:cs="Malgun Gothic"/>
        <w:sz w:val="16"/>
      </w:rPr>
      <w:t xml:space="preserve">PROCURADORIA-GERAL FEDERAL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D"/>
    <w:rsid w:val="00144892"/>
    <w:rsid w:val="002D60B4"/>
    <w:rsid w:val="00671AD9"/>
    <w:rsid w:val="007C2645"/>
    <w:rsid w:val="00996CA9"/>
    <w:rsid w:val="009A4CAD"/>
    <w:rsid w:val="00A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B091"/>
  <w15:docId w15:val="{7F22B2C2-87DF-4722-BF62-9B72E2F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65"/>
      <w:jc w:val="center"/>
      <w:outlineLvl w:val="0"/>
    </w:pPr>
    <w:rPr>
      <w:rFonts w:ascii="Malgun Gothic" w:eastAsia="Malgun Gothic" w:hAnsi="Malgun Gothic" w:cs="Malgun Gothic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outlineLvl w:val="1"/>
    </w:pPr>
    <w:rPr>
      <w:rFonts w:ascii="Malgun Gothic" w:eastAsia="Malgun Gothic" w:hAnsi="Malgun Gothic" w:cs="Malgun Gothic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Malgun Gothic" w:eastAsia="Malgun Gothic" w:hAnsi="Malgun Gothic" w:cs="Malgun Gothic"/>
      <w:color w:val="000000"/>
      <w:sz w:val="18"/>
    </w:rPr>
  </w:style>
  <w:style w:type="character" w:customStyle="1" w:styleId="Ttulo1Char">
    <w:name w:val="Título 1 Char"/>
    <w:link w:val="Ttulo1"/>
    <w:rPr>
      <w:rFonts w:ascii="Malgun Gothic" w:eastAsia="Malgun Gothic" w:hAnsi="Malgun Gothic" w:cs="Malgun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anale</dc:creator>
  <cp:keywords/>
  <cp:lastModifiedBy>renata</cp:lastModifiedBy>
  <cp:revision>2</cp:revision>
  <dcterms:created xsi:type="dcterms:W3CDTF">2020-09-22T12:00:00Z</dcterms:created>
  <dcterms:modified xsi:type="dcterms:W3CDTF">2020-09-22T12:00:00Z</dcterms:modified>
</cp:coreProperties>
</file>