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8B" w:rsidRDefault="00FA55EC">
      <w:pPr>
        <w:spacing w:after="0"/>
        <w:ind w:left="10" w:right="336" w:hanging="10"/>
        <w:jc w:val="center"/>
      </w:pPr>
      <w:r>
        <w:rPr>
          <w:sz w:val="20"/>
        </w:rPr>
        <w:t>ADVOCACIA-GERAL DA UNIÃO</w:t>
      </w:r>
    </w:p>
    <w:p w:rsidR="00A0118B" w:rsidRDefault="00FA55EC">
      <w:pPr>
        <w:spacing w:after="0"/>
        <w:ind w:left="10" w:right="355" w:hanging="10"/>
        <w:jc w:val="center"/>
      </w:pPr>
      <w:r>
        <w:rPr>
          <w:sz w:val="20"/>
        </w:rPr>
        <w:t>PROCURADORIA-GERAL FEDERAL</w:t>
      </w:r>
    </w:p>
    <w:p w:rsidR="00A0118B" w:rsidRDefault="00FA55EC">
      <w:pPr>
        <w:spacing w:after="202"/>
        <w:ind w:left="-38"/>
      </w:pPr>
      <w:r>
        <w:rPr>
          <w:noProof/>
        </w:rPr>
        <mc:AlternateContent>
          <mc:Choice Requires="wpg">
            <w:drawing>
              <wp:inline distT="0" distB="0" distL="0" distR="0">
                <wp:extent cx="5983858" cy="24384"/>
                <wp:effectExtent l="0" t="0" r="0" b="0"/>
                <wp:docPr id="12750" name="Group 12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3858" cy="24384"/>
                          <a:chOff x="0" y="0"/>
                          <a:chExt cx="5983858" cy="24384"/>
                        </a:xfrm>
                      </wpg:grpSpPr>
                      <wps:wsp>
                        <wps:cNvPr id="12749" name="Shape 12749"/>
                        <wps:cNvSpPr/>
                        <wps:spPr>
                          <a:xfrm>
                            <a:off x="0" y="0"/>
                            <a:ext cx="5983858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3858" h="24384">
                                <a:moveTo>
                                  <a:pt x="0" y="12192"/>
                                </a:moveTo>
                                <a:lnTo>
                                  <a:pt x="5983858" y="12192"/>
                                </a:lnTo>
                              </a:path>
                            </a:pathLst>
                          </a:custGeom>
                          <a:ln w="2438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50" style="width:471.17pt;height:1.92001pt;mso-position-horizontal-relative:char;mso-position-vertical-relative:line" coordsize="59838,243">
                <v:shape id="Shape 12749" style="position:absolute;width:59838;height:243;left:0;top:0;" coordsize="5983858,24384" path="m0,12192l5983858,12192">
                  <v:stroke weight="1.92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0118B" w:rsidRDefault="00FA55EC">
      <w:pPr>
        <w:spacing w:after="0"/>
        <w:ind w:right="816"/>
        <w:jc w:val="center"/>
      </w:pPr>
      <w:r>
        <w:rPr>
          <w:sz w:val="26"/>
        </w:rPr>
        <w:t>Lista de Verificação</w:t>
      </w:r>
    </w:p>
    <w:p w:rsidR="00A0118B" w:rsidRDefault="00FA55EC">
      <w:pPr>
        <w:pStyle w:val="Ttulo1"/>
      </w:pPr>
      <w:r>
        <w:t>ACORDO PE PARCERIA PARA PESQUISA. DESENVOLVIMENTO E INOVACÄO</w:t>
      </w:r>
    </w:p>
    <w:p w:rsidR="00A0118B" w:rsidRDefault="00FA55EC">
      <w:pPr>
        <w:spacing w:after="287"/>
        <w:ind w:left="10"/>
      </w:pPr>
      <w:r>
        <w:rPr>
          <w:sz w:val="26"/>
        </w:rPr>
        <w:t xml:space="preserve">NUP: </w:t>
      </w:r>
      <w:r>
        <w:rPr>
          <w:noProof/>
        </w:rPr>
        <mc:AlternateContent>
          <mc:Choice Requires="wpg">
            <w:drawing>
              <wp:inline distT="0" distB="0" distL="0" distR="0">
                <wp:extent cx="1821969" cy="12192"/>
                <wp:effectExtent l="0" t="0" r="0" b="0"/>
                <wp:docPr id="12752" name="Group 12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969" cy="12192"/>
                          <a:chOff x="0" y="0"/>
                          <a:chExt cx="1821969" cy="12192"/>
                        </a:xfrm>
                      </wpg:grpSpPr>
                      <wps:wsp>
                        <wps:cNvPr id="12751" name="Shape 12751"/>
                        <wps:cNvSpPr/>
                        <wps:spPr>
                          <a:xfrm>
                            <a:off x="0" y="0"/>
                            <a:ext cx="182196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969" h="12192">
                                <a:moveTo>
                                  <a:pt x="0" y="6096"/>
                                </a:moveTo>
                                <a:lnTo>
                                  <a:pt x="1821969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752" style="width:143.462pt;height:0.960007pt;mso-position-horizontal-relative:char;mso-position-vertical-relative:line" coordsize="18219,121">
                <v:shape id="Shape 12751" style="position:absolute;width:18219;height:121;left:0;top:0;" coordsize="1821969,12192" path="m0,6096l1821969,6096">
                  <v:stroke weight="0.96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0118B" w:rsidRDefault="00FA55EC">
      <w:pPr>
        <w:spacing w:after="0"/>
        <w:ind w:firstLine="10"/>
        <w:rPr>
          <w:sz w:val="24"/>
        </w:rPr>
      </w:pPr>
      <w:r>
        <w:rPr>
          <w:sz w:val="24"/>
          <w:u w:val="single" w:color="000000"/>
        </w:rPr>
        <w:t xml:space="preserve">Base </w:t>
      </w:r>
      <w:proofErr w:type="spellStart"/>
      <w:r>
        <w:rPr>
          <w:sz w:val="24"/>
          <w:u w:val="single" w:color="000000"/>
        </w:rPr>
        <w:t>Leqa</w:t>
      </w:r>
      <w:r>
        <w:rPr>
          <w:sz w:val="24"/>
        </w:rPr>
        <w:t>l</w:t>
      </w:r>
      <w:proofErr w:type="spellEnd"/>
      <w:r>
        <w:rPr>
          <w:sz w:val="24"/>
        </w:rPr>
        <w:t>: art. 9</w:t>
      </w:r>
      <w:r>
        <w:rPr>
          <w:sz w:val="24"/>
          <w:vertAlign w:val="superscript"/>
        </w:rPr>
        <w:t xml:space="preserve">0 </w:t>
      </w:r>
      <w:r>
        <w:rPr>
          <w:sz w:val="24"/>
        </w:rPr>
        <w:t>da Lei n</w:t>
      </w:r>
      <w:r>
        <w:rPr>
          <w:sz w:val="24"/>
          <w:vertAlign w:val="superscript"/>
        </w:rPr>
        <w:t xml:space="preserve">o </w:t>
      </w:r>
      <w:r>
        <w:rPr>
          <w:sz w:val="24"/>
        </w:rPr>
        <w:t xml:space="preserve">10.973, de 2 de dezembro de 2004 e </w:t>
      </w:r>
      <w:proofErr w:type="spellStart"/>
      <w:r>
        <w:rPr>
          <w:sz w:val="24"/>
        </w:rPr>
        <w:t>arts</w:t>
      </w:r>
      <w:proofErr w:type="spellEnd"/>
      <w:r>
        <w:rPr>
          <w:sz w:val="24"/>
        </w:rPr>
        <w:t>. 35 a 37 do Decreto n</w:t>
      </w:r>
      <w:r>
        <w:rPr>
          <w:sz w:val="24"/>
          <w:vertAlign w:val="superscript"/>
        </w:rPr>
        <w:t xml:space="preserve">o </w:t>
      </w:r>
      <w:r>
        <w:rPr>
          <w:sz w:val="24"/>
        </w:rPr>
        <w:t>7 de fevereiro de 2018.</w:t>
      </w:r>
    </w:p>
    <w:p w:rsidR="00351913" w:rsidRDefault="00351913">
      <w:pPr>
        <w:spacing w:after="0"/>
        <w:ind w:firstLine="10"/>
      </w:pPr>
    </w:p>
    <w:tbl>
      <w:tblPr>
        <w:tblStyle w:val="TableGrid"/>
        <w:tblW w:w="9547" w:type="dxa"/>
        <w:tblInd w:w="-50" w:type="dxa"/>
        <w:tblCellMar>
          <w:top w:w="29" w:type="dxa"/>
          <w:left w:w="41" w:type="dxa"/>
          <w:bottom w:w="0" w:type="dxa"/>
          <w:right w:w="16" w:type="dxa"/>
        </w:tblCellMar>
        <w:tblLook w:val="04A0" w:firstRow="1" w:lastRow="0" w:firstColumn="1" w:lastColumn="0" w:noHBand="0" w:noVBand="1"/>
      </w:tblPr>
      <w:tblGrid>
        <w:gridCol w:w="456"/>
        <w:gridCol w:w="26"/>
        <w:gridCol w:w="8435"/>
        <w:gridCol w:w="14"/>
        <w:gridCol w:w="616"/>
      </w:tblGrid>
      <w:tr w:rsidR="00A0118B" w:rsidRPr="00351913" w:rsidTr="00351913">
        <w:trPr>
          <w:trHeight w:val="480"/>
        </w:trPr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right="42"/>
              <w:jc w:val="right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52"/>
              <w:jc w:val="center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Documentação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161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OBS</w:t>
            </w:r>
          </w:p>
        </w:tc>
      </w:tr>
      <w:tr w:rsidR="00A0118B" w:rsidRPr="00351913" w:rsidTr="00351913">
        <w:trPr>
          <w:trHeight w:val="427"/>
        </w:trPr>
        <w:tc>
          <w:tcPr>
            <w:tcW w:w="95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0118B" w:rsidRPr="00351913" w:rsidRDefault="00FA55EC">
            <w:pPr>
              <w:spacing w:after="0"/>
              <w:ind w:left="115"/>
              <w:jc w:val="center"/>
              <w:rPr>
                <w:rFonts w:asciiTheme="minorHAnsi" w:hAnsiTheme="minorHAnsi" w:cstheme="minorHAnsi"/>
                <w:b/>
              </w:rPr>
            </w:pPr>
            <w:r w:rsidRPr="00351913">
              <w:rPr>
                <w:rFonts w:asciiTheme="minorHAnsi" w:hAnsiTheme="minorHAnsi" w:cstheme="minorHAnsi"/>
                <w:b/>
              </w:rPr>
              <w:t>Documentos: ICT pública/agência de fomento</w:t>
            </w:r>
          </w:p>
        </w:tc>
      </w:tr>
      <w:tr w:rsidR="00A0118B" w:rsidRPr="00351913" w:rsidTr="00351913">
        <w:trPr>
          <w:trHeight w:val="490"/>
        </w:trPr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351913" w:rsidP="00351913">
            <w:pPr>
              <w:jc w:val="center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65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Autuação do processo (Lei n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351913">
              <w:rPr>
                <w:rFonts w:asciiTheme="minorHAnsi" w:hAnsiTheme="minorHAnsi" w:cstheme="minorHAnsi"/>
              </w:rPr>
              <w:t xml:space="preserve">9.784, de 29 de janeiro de 1999, art. 22, §4 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>0</w:t>
            </w:r>
            <w:r w:rsidRPr="00351913">
              <w:rPr>
                <w:rFonts w:asciiTheme="minorHAnsi" w:hAnsiTheme="minorHAnsi" w:cstheme="minorHAnsi"/>
              </w:rPr>
              <w:t>).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118B" w:rsidRPr="00351913" w:rsidRDefault="00A0118B">
            <w:pPr>
              <w:rPr>
                <w:rFonts w:asciiTheme="minorHAnsi" w:hAnsiTheme="minorHAnsi" w:cstheme="minorHAnsi"/>
              </w:rPr>
            </w:pPr>
          </w:p>
        </w:tc>
      </w:tr>
      <w:tr w:rsidR="00A0118B" w:rsidRPr="00351913" w:rsidTr="00351913">
        <w:trPr>
          <w:trHeight w:val="1627"/>
        </w:trPr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125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74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Minuta do acordo de parceria para PD&amp;I.</w:t>
            </w:r>
          </w:p>
          <w:p w:rsidR="00A0118B" w:rsidRPr="00351913" w:rsidRDefault="00FA55EC">
            <w:pPr>
              <w:spacing w:after="0" w:line="216" w:lineRule="auto"/>
              <w:ind w:left="65" w:right="100" w:firstLine="10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 xml:space="preserve">Obs. n 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351913">
              <w:rPr>
                <w:rFonts w:asciiTheme="minorHAnsi" w:hAnsiTheme="minorHAnsi" w:cstheme="minorHAnsi"/>
              </w:rPr>
              <w:t xml:space="preserve">1: necessidade de destacar (outra cor, sombreado, </w:t>
            </w:r>
            <w:proofErr w:type="spellStart"/>
            <w:r w:rsidRPr="00351913">
              <w:rPr>
                <w:rFonts w:asciiTheme="minorHAnsi" w:hAnsiTheme="minorHAnsi" w:cstheme="minorHAnsi"/>
              </w:rPr>
              <w:t>etc</w:t>
            </w:r>
            <w:proofErr w:type="spellEnd"/>
            <w:r w:rsidRPr="00351913">
              <w:rPr>
                <w:rFonts w:asciiTheme="minorHAnsi" w:hAnsiTheme="minorHAnsi" w:cstheme="minorHAnsi"/>
              </w:rPr>
              <w:t xml:space="preserve">) as cláusulas e </w:t>
            </w:r>
            <w:proofErr w:type="spellStart"/>
            <w:r w:rsidRPr="00351913">
              <w:rPr>
                <w:rFonts w:asciiTheme="minorHAnsi" w:hAnsiTheme="minorHAnsi" w:cstheme="minorHAnsi"/>
              </w:rPr>
              <w:t>subcláusula</w:t>
            </w:r>
            <w:proofErr w:type="spellEnd"/>
            <w:r w:rsidRPr="00351913">
              <w:rPr>
                <w:rFonts w:asciiTheme="minorHAnsi" w:hAnsiTheme="minorHAnsi" w:cstheme="minorHAnsi"/>
              </w:rPr>
              <w:t xml:space="preserve"> que foram inseridas, modificadas ou excluídas da minuta padrão e apresentar </w:t>
            </w:r>
            <w:r w:rsidR="00351913" w:rsidRPr="00351913">
              <w:rPr>
                <w:rFonts w:asciiTheme="minorHAnsi" w:hAnsiTheme="minorHAnsi" w:cstheme="minorHAnsi"/>
              </w:rPr>
              <w:t>as justificativas</w:t>
            </w:r>
            <w:r w:rsidRPr="00351913">
              <w:rPr>
                <w:rFonts w:asciiTheme="minorHAnsi" w:hAnsiTheme="minorHAnsi" w:cstheme="minorHAnsi"/>
              </w:rPr>
              <w:t xml:space="preserve"> na nota técnica.</w:t>
            </w:r>
          </w:p>
          <w:p w:rsidR="00A0118B" w:rsidRPr="00351913" w:rsidRDefault="00FA55EC">
            <w:pPr>
              <w:spacing w:after="0"/>
              <w:ind w:left="74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 xml:space="preserve">Obs. n 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351913">
              <w:rPr>
                <w:rFonts w:asciiTheme="minorHAnsi" w:hAnsiTheme="minorHAnsi" w:cstheme="minorHAnsi"/>
              </w:rPr>
              <w:t>2: caso não tenha sido utilizada a minuta padrão do aco</w:t>
            </w:r>
            <w:r w:rsidRPr="00351913">
              <w:rPr>
                <w:rFonts w:asciiTheme="minorHAnsi" w:hAnsiTheme="minorHAnsi" w:cstheme="minorHAnsi"/>
              </w:rPr>
              <w:t>rdo de parceria para PD&amp;I elaborada pela CP-CT&amp;I da PGF/AGU, juntar a justificativa pertinente.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A0118B">
            <w:pPr>
              <w:rPr>
                <w:rFonts w:asciiTheme="minorHAnsi" w:hAnsiTheme="minorHAnsi" w:cstheme="minorHAnsi"/>
              </w:rPr>
            </w:pPr>
          </w:p>
        </w:tc>
      </w:tr>
      <w:tr w:rsidR="00A0118B" w:rsidRPr="00351913" w:rsidTr="00351913">
        <w:trPr>
          <w:trHeight w:val="1176"/>
        </w:trPr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134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1913" w:rsidRPr="00351913" w:rsidRDefault="00FA55EC">
            <w:pPr>
              <w:spacing w:after="0"/>
              <w:ind w:left="65" w:right="13" w:firstLine="10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 xml:space="preserve">Nota/parecer técnico da área competente que apresente o mérito administrativo, com </w:t>
            </w:r>
            <w:proofErr w:type="gramStart"/>
            <w:r w:rsidRPr="00351913">
              <w:rPr>
                <w:rFonts w:asciiTheme="minorHAnsi" w:hAnsiTheme="minorHAnsi" w:cstheme="minorHAnsi"/>
              </w:rPr>
              <w:t>a(</w:t>
            </w:r>
            <w:proofErr w:type="gramEnd"/>
            <w:r w:rsidRPr="00351913">
              <w:rPr>
                <w:rFonts w:asciiTheme="minorHAnsi" w:hAnsiTheme="minorHAnsi" w:cstheme="minorHAnsi"/>
              </w:rPr>
              <w:t xml:space="preserve">s devida(s) </w:t>
            </w:r>
            <w:r w:rsidR="00351913" w:rsidRPr="00351913">
              <w:rPr>
                <w:rFonts w:asciiTheme="minorHAnsi" w:hAnsiTheme="minorHAnsi" w:cstheme="minorHAnsi"/>
              </w:rPr>
              <w:t>aprovação</w:t>
            </w:r>
            <w:r w:rsidRPr="00351913">
              <w:rPr>
                <w:rFonts w:asciiTheme="minorHAnsi" w:hAnsiTheme="minorHAnsi" w:cstheme="minorHAnsi"/>
              </w:rPr>
              <w:t>(</w:t>
            </w:r>
            <w:proofErr w:type="spellStart"/>
            <w:r w:rsidRPr="00351913">
              <w:rPr>
                <w:rFonts w:asciiTheme="minorHAnsi" w:hAnsiTheme="minorHAnsi" w:cstheme="minorHAnsi"/>
              </w:rPr>
              <w:t>öes</w:t>
            </w:r>
            <w:proofErr w:type="spellEnd"/>
            <w:r w:rsidRPr="00351913">
              <w:rPr>
                <w:rFonts w:asciiTheme="minorHAnsi" w:hAnsiTheme="minorHAnsi" w:cstheme="minorHAnsi"/>
              </w:rPr>
              <w:t>) da(s) autoridade(s) superiores elou órgão(s) colegiado(s) competente(s), conforme disciplinado na política de inovação elou normas interna insti</w:t>
            </w:r>
            <w:r w:rsidRPr="00351913">
              <w:rPr>
                <w:rFonts w:asciiTheme="minorHAnsi" w:hAnsiTheme="minorHAnsi" w:cstheme="minorHAnsi"/>
              </w:rPr>
              <w:t>tucionais.</w:t>
            </w:r>
            <w:r w:rsidR="00351913" w:rsidRPr="00351913">
              <w:rPr>
                <w:rFonts w:asciiTheme="minorHAnsi" w:hAnsiTheme="minorHAnsi" w:cstheme="minorHAnsi"/>
              </w:rPr>
              <w:t xml:space="preserve"> </w:t>
            </w:r>
          </w:p>
          <w:p w:rsidR="00351913" w:rsidRPr="00351913" w:rsidRDefault="00351913">
            <w:pPr>
              <w:spacing w:after="0"/>
              <w:ind w:left="65" w:right="13" w:firstLine="10"/>
              <w:jc w:val="both"/>
              <w:rPr>
                <w:rFonts w:asciiTheme="minorHAnsi" w:hAnsiTheme="minorHAnsi" w:cstheme="minorHAnsi"/>
              </w:rPr>
            </w:pPr>
          </w:p>
          <w:p w:rsidR="00A0118B" w:rsidRDefault="00351913">
            <w:pPr>
              <w:spacing w:after="0"/>
              <w:ind w:left="65" w:right="13" w:firstLine="10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 xml:space="preserve">Modelo disponível no link: </w:t>
            </w:r>
            <w:hyperlink r:id="rId5" w:history="1">
              <w:r w:rsidR="00FA55EC" w:rsidRPr="008F2989">
                <w:rPr>
                  <w:rStyle w:val="Hyperlink"/>
                  <w:rFonts w:asciiTheme="minorHAnsi" w:hAnsiTheme="minorHAnsi" w:cstheme="minorHAnsi"/>
                </w:rPr>
                <w:t>https://www.gov.br/agu/pt-br/composicao/procuradoria-geral-federal-1/subprocuradoria-federal-de-consultoria-juridica/ciencia-tecnologia-e-inovacao/e-ct-i/e-cti-docs</w:t>
              </w:r>
            </w:hyperlink>
          </w:p>
          <w:p w:rsidR="00351913" w:rsidRPr="00351913" w:rsidRDefault="00351913">
            <w:pPr>
              <w:spacing w:after="0"/>
              <w:ind w:left="65" w:right="13" w:firstLine="10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A0118B">
            <w:pPr>
              <w:rPr>
                <w:rFonts w:asciiTheme="minorHAnsi" w:hAnsiTheme="minorHAnsi" w:cstheme="minorHAnsi"/>
              </w:rPr>
            </w:pPr>
          </w:p>
        </w:tc>
      </w:tr>
      <w:tr w:rsidR="00A0118B" w:rsidRPr="00351913" w:rsidTr="00351913">
        <w:trPr>
          <w:trHeight w:val="1166"/>
        </w:trPr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125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74" w:right="4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Manifestação do Núcleo de Inovação Tecno</w:t>
            </w:r>
            <w:r w:rsidR="00351913">
              <w:rPr>
                <w:rFonts w:asciiTheme="minorHAnsi" w:hAnsiTheme="minorHAnsi" w:cstheme="minorHAnsi"/>
              </w:rPr>
              <w:t>lógica sobre o enquadramento ju</w:t>
            </w:r>
            <w:r w:rsidRPr="00351913">
              <w:rPr>
                <w:rFonts w:asciiTheme="minorHAnsi" w:hAnsiTheme="minorHAnsi" w:cstheme="minorHAnsi"/>
              </w:rPr>
              <w:t>rídico da parceria no art. 9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 xml:space="preserve">0 </w:t>
            </w:r>
            <w:r w:rsidRPr="00351913">
              <w:rPr>
                <w:rFonts w:asciiTheme="minorHAnsi" w:hAnsiTheme="minorHAnsi" w:cstheme="minorHAnsi"/>
              </w:rPr>
              <w:t xml:space="preserve">da Lei n 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351913">
              <w:rPr>
                <w:rFonts w:asciiTheme="minorHAnsi" w:hAnsiTheme="minorHAnsi" w:cstheme="minorHAnsi"/>
              </w:rPr>
              <w:t>10.973, de 2004, sobre as questões relativas à titularidade da propriedade intelectual e à participação nos resultados da exploração das criações resultantes da parceria, incluindo a análise das cláusulas da minuta do instrumento que se referem a este tema</w:t>
            </w:r>
            <w:r w:rsidRPr="003519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A0118B">
            <w:pPr>
              <w:rPr>
                <w:rFonts w:asciiTheme="minorHAnsi" w:hAnsiTheme="minorHAnsi" w:cstheme="minorHAnsi"/>
              </w:rPr>
            </w:pPr>
          </w:p>
        </w:tc>
      </w:tr>
      <w:tr w:rsidR="00A0118B" w:rsidRPr="00351913" w:rsidTr="00351913">
        <w:trPr>
          <w:trHeight w:val="3264"/>
        </w:trPr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134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106" w:line="216" w:lineRule="auto"/>
              <w:ind w:left="65" w:firstLine="10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Plano de trabalho contendo, no mínimo, os seguintes itens (</w:t>
            </w:r>
            <w:proofErr w:type="spellStart"/>
            <w:r w:rsidRPr="00351913">
              <w:rPr>
                <w:rFonts w:asciiTheme="minorHAnsi" w:hAnsiTheme="minorHAnsi" w:cstheme="minorHAnsi"/>
              </w:rPr>
              <w:t>arts</w:t>
            </w:r>
            <w:proofErr w:type="spellEnd"/>
            <w:r w:rsidRPr="00351913">
              <w:rPr>
                <w:rFonts w:asciiTheme="minorHAnsi" w:hAnsiTheme="minorHAnsi" w:cstheme="minorHAnsi"/>
              </w:rPr>
              <w:t xml:space="preserve">. 35, § 1 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>0</w:t>
            </w:r>
            <w:r w:rsidRPr="00351913">
              <w:rPr>
                <w:rFonts w:asciiTheme="minorHAnsi" w:hAnsiTheme="minorHAnsi" w:cstheme="minorHAnsi"/>
              </w:rPr>
              <w:t xml:space="preserve">, do Decreto n 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351913">
              <w:rPr>
                <w:rFonts w:asciiTheme="minorHAnsi" w:hAnsiTheme="minorHAnsi" w:cstheme="minorHAnsi"/>
              </w:rPr>
              <w:t>9.283, de 7 de fevereiro de 2018):</w:t>
            </w:r>
          </w:p>
          <w:p w:rsidR="00A0118B" w:rsidRPr="00351913" w:rsidRDefault="00FA55EC" w:rsidP="00351913">
            <w:pPr>
              <w:pStyle w:val="PargrafodaLista"/>
              <w:numPr>
                <w:ilvl w:val="0"/>
                <w:numId w:val="5"/>
              </w:numPr>
              <w:spacing w:after="118" w:line="216" w:lineRule="auto"/>
              <w:ind w:right="7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 xml:space="preserve">- </w:t>
            </w:r>
            <w:proofErr w:type="gramStart"/>
            <w:r w:rsidRPr="00351913">
              <w:rPr>
                <w:rFonts w:asciiTheme="minorHAnsi" w:hAnsiTheme="minorHAnsi" w:cstheme="minorHAnsi"/>
              </w:rPr>
              <w:t>a</w:t>
            </w:r>
            <w:proofErr w:type="gramEnd"/>
            <w:r w:rsidRPr="00351913">
              <w:rPr>
                <w:rFonts w:asciiTheme="minorHAnsi" w:hAnsiTheme="minorHAnsi" w:cstheme="minorHAnsi"/>
              </w:rPr>
              <w:t xml:space="preserve"> descrição das atividades conjuntas a serem executadas, de maneira a assegurar discricionariedade aos parceiros para exercer as atividades com vistas ao atingimento dos resultados pretendidos;</w:t>
            </w:r>
          </w:p>
          <w:p w:rsidR="00A0118B" w:rsidRPr="00351913" w:rsidRDefault="00FA55EC" w:rsidP="00351913">
            <w:pPr>
              <w:pStyle w:val="PargrafodaLista"/>
              <w:numPr>
                <w:ilvl w:val="0"/>
                <w:numId w:val="5"/>
              </w:numPr>
              <w:spacing w:after="91" w:line="216" w:lineRule="auto"/>
              <w:ind w:right="7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 xml:space="preserve">- </w:t>
            </w:r>
            <w:proofErr w:type="gramStart"/>
            <w:r w:rsidRPr="00351913">
              <w:rPr>
                <w:rFonts w:asciiTheme="minorHAnsi" w:hAnsiTheme="minorHAnsi" w:cstheme="minorHAnsi"/>
              </w:rPr>
              <w:t>a</w:t>
            </w:r>
            <w:proofErr w:type="gramEnd"/>
            <w:r w:rsidRPr="00351913">
              <w:rPr>
                <w:rFonts w:asciiTheme="minorHAnsi" w:hAnsiTheme="minorHAnsi" w:cstheme="minorHAnsi"/>
              </w:rPr>
              <w:t xml:space="preserve"> estipulação das metas a serem atingidas e os prazos prev</w:t>
            </w:r>
            <w:r w:rsidRPr="00351913">
              <w:rPr>
                <w:rFonts w:asciiTheme="minorHAnsi" w:hAnsiTheme="minorHAnsi" w:cstheme="minorHAnsi"/>
              </w:rPr>
              <w:t>istos para execução, além dos parâmetros a serem utilizados para a aferição do cumprimento das metas, considerados os riscos inerentes aos projetos de pesquisa, desenvolvimento e inovação;</w:t>
            </w:r>
          </w:p>
          <w:p w:rsidR="00A0118B" w:rsidRPr="00351913" w:rsidRDefault="00FA55EC" w:rsidP="00351913">
            <w:pPr>
              <w:pStyle w:val="PargrafodaLista"/>
              <w:numPr>
                <w:ilvl w:val="0"/>
                <w:numId w:val="5"/>
              </w:numPr>
              <w:spacing w:after="73" w:line="216" w:lineRule="auto"/>
              <w:ind w:right="7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 xml:space="preserve">- </w:t>
            </w:r>
            <w:proofErr w:type="gramStart"/>
            <w:r w:rsidRPr="00351913">
              <w:rPr>
                <w:rFonts w:asciiTheme="minorHAnsi" w:hAnsiTheme="minorHAnsi" w:cstheme="minorHAnsi"/>
              </w:rPr>
              <w:t>a</w:t>
            </w:r>
            <w:proofErr w:type="gramEnd"/>
            <w:r w:rsidRPr="00351913">
              <w:rPr>
                <w:rFonts w:asciiTheme="minorHAnsi" w:hAnsiTheme="minorHAnsi" w:cstheme="minorHAnsi"/>
              </w:rPr>
              <w:t xml:space="preserve"> descrição dos meios (capital intelectual, </w:t>
            </w:r>
            <w:r w:rsidR="00351913" w:rsidRPr="00351913">
              <w:rPr>
                <w:rFonts w:asciiTheme="minorHAnsi" w:hAnsiTheme="minorHAnsi" w:cstheme="minorHAnsi"/>
              </w:rPr>
              <w:t>serviços</w:t>
            </w:r>
            <w:r w:rsidRPr="00351913">
              <w:rPr>
                <w:rFonts w:asciiTheme="minorHAnsi" w:hAnsiTheme="minorHAnsi" w:cstheme="minorHAnsi"/>
              </w:rPr>
              <w:t>, equipamen</w:t>
            </w:r>
            <w:r w:rsidRPr="00351913">
              <w:rPr>
                <w:rFonts w:asciiTheme="minorHAnsi" w:hAnsiTheme="minorHAnsi" w:cstheme="minorHAnsi"/>
              </w:rPr>
              <w:t xml:space="preserve">tos, </w:t>
            </w:r>
            <w:proofErr w:type="spellStart"/>
            <w:r w:rsidRPr="00351913">
              <w:rPr>
                <w:rFonts w:asciiTheme="minorHAnsi" w:hAnsiTheme="minorHAnsi" w:cstheme="minorHAnsi"/>
              </w:rPr>
              <w:t>etc</w:t>
            </w:r>
            <w:proofErr w:type="spellEnd"/>
            <w:r w:rsidRPr="00351913">
              <w:rPr>
                <w:rFonts w:asciiTheme="minorHAnsi" w:hAnsiTheme="minorHAnsi" w:cstheme="minorHAnsi"/>
              </w:rPr>
              <w:t xml:space="preserve">) a </w:t>
            </w:r>
            <w:r w:rsidR="00351913" w:rsidRPr="00351913">
              <w:rPr>
                <w:rFonts w:asciiTheme="minorHAnsi" w:hAnsiTheme="minorHAnsi" w:cstheme="minorHAnsi"/>
              </w:rPr>
              <w:t>serem</w:t>
            </w:r>
            <w:r w:rsidRPr="00351913">
              <w:rPr>
                <w:rFonts w:asciiTheme="minorHAnsi" w:hAnsiTheme="minorHAnsi" w:cstheme="minorHAnsi"/>
              </w:rPr>
              <w:t xml:space="preserve"> empregados pelos parceiros; e</w:t>
            </w:r>
          </w:p>
          <w:p w:rsidR="00A0118B" w:rsidRPr="00351913" w:rsidRDefault="00FA55EC" w:rsidP="00351913">
            <w:pPr>
              <w:pStyle w:val="PargrafodaLista"/>
              <w:numPr>
                <w:ilvl w:val="0"/>
                <w:numId w:val="5"/>
              </w:numPr>
              <w:spacing w:after="0"/>
              <w:ind w:right="7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- a previsão da concessão de bolsas, quando couber.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A0118B">
            <w:pPr>
              <w:rPr>
                <w:rFonts w:asciiTheme="minorHAnsi" w:hAnsiTheme="minorHAnsi" w:cstheme="minorHAnsi"/>
              </w:rPr>
            </w:pPr>
          </w:p>
        </w:tc>
      </w:tr>
      <w:tr w:rsidR="00A0118B" w:rsidRPr="00351913" w:rsidTr="00351913">
        <w:trPr>
          <w:trHeight w:val="1171"/>
        </w:trPr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125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94" w:right="4" w:firstLine="10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 xml:space="preserve">Declaração individual de todos os servidores públicos (pesquisadores, docentes e </w:t>
            </w:r>
            <w:r w:rsidR="00351913" w:rsidRPr="00351913">
              <w:rPr>
                <w:rFonts w:asciiTheme="minorHAnsi" w:hAnsiTheme="minorHAnsi" w:cstheme="minorHAnsi"/>
              </w:rPr>
              <w:t>técnico</w:t>
            </w:r>
            <w:r w:rsidRPr="00351913">
              <w:rPr>
                <w:rFonts w:asciiTheme="minorHAnsi" w:hAnsiTheme="minorHAnsi" w:cstheme="minorHAnsi"/>
              </w:rPr>
              <w:t xml:space="preserve"> administrativos) atuantes no projeto, firmada de próprio punho, atestando que não s encontram em situação de potencial de conflito de interesses em relação à parceira p</w:t>
            </w:r>
            <w:r w:rsidRPr="00351913">
              <w:rPr>
                <w:rFonts w:asciiTheme="minorHAnsi" w:hAnsiTheme="minorHAnsi" w:cstheme="minorHAnsi"/>
              </w:rPr>
              <w:t xml:space="preserve">rivada (se houver), nos termos da Lei n 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351913">
              <w:rPr>
                <w:rFonts w:asciiTheme="minorHAnsi" w:hAnsiTheme="minorHAnsi" w:cstheme="minorHAnsi"/>
              </w:rPr>
              <w:t>12.813, de 16 de maio de 2013.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A0118B">
            <w:pPr>
              <w:rPr>
                <w:rFonts w:asciiTheme="minorHAnsi" w:hAnsiTheme="minorHAnsi" w:cstheme="minorHAnsi"/>
              </w:rPr>
            </w:pPr>
          </w:p>
        </w:tc>
      </w:tr>
      <w:tr w:rsidR="00A0118B" w:rsidRPr="00351913" w:rsidTr="00351913">
        <w:trPr>
          <w:trHeight w:val="720"/>
        </w:trPr>
        <w:tc>
          <w:tcPr>
            <w:tcW w:w="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134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103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 xml:space="preserve">Exame e aprovação da minuta pela assessoria jurídica da administração (art. 38, </w:t>
            </w:r>
            <w:r w:rsidR="00351913" w:rsidRPr="00351913">
              <w:rPr>
                <w:rFonts w:asciiTheme="minorHAnsi" w:hAnsiTheme="minorHAnsi" w:cstheme="minorHAnsi"/>
              </w:rPr>
              <w:t>parágrafo</w:t>
            </w:r>
            <w:r w:rsidRPr="00351913">
              <w:rPr>
                <w:rFonts w:asciiTheme="minorHAnsi" w:hAnsiTheme="minorHAnsi" w:cstheme="minorHAnsi"/>
              </w:rPr>
              <w:t xml:space="preserve"> único, Lei 8.666, de 1993 e art. 53, §4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 xml:space="preserve">0 </w:t>
            </w:r>
            <w:r w:rsidRPr="00351913">
              <w:rPr>
                <w:rFonts w:asciiTheme="minorHAnsi" w:hAnsiTheme="minorHAnsi" w:cstheme="minorHAnsi"/>
              </w:rPr>
              <w:t>, da Lei n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351913">
              <w:rPr>
                <w:rFonts w:asciiTheme="minorHAnsi" w:hAnsiTheme="minorHAnsi" w:cstheme="minorHAnsi"/>
              </w:rPr>
              <w:t xml:space="preserve">14.133, de 1 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 xml:space="preserve">0 </w:t>
            </w:r>
            <w:r w:rsidRPr="00351913">
              <w:rPr>
                <w:rFonts w:asciiTheme="minorHAnsi" w:hAnsiTheme="minorHAnsi" w:cstheme="minorHAnsi"/>
              </w:rPr>
              <w:t>de abril de 2021).</w:t>
            </w:r>
          </w:p>
        </w:tc>
        <w:tc>
          <w:tcPr>
            <w:tcW w:w="6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A0118B">
            <w:pPr>
              <w:rPr>
                <w:rFonts w:asciiTheme="minorHAnsi" w:hAnsiTheme="minorHAnsi" w:cstheme="minorHAnsi"/>
              </w:rPr>
            </w:pPr>
          </w:p>
        </w:tc>
      </w:tr>
      <w:tr w:rsidR="00A0118B" w:rsidRPr="00351913" w:rsidTr="00351913">
        <w:trPr>
          <w:trHeight w:val="571"/>
        </w:trPr>
        <w:tc>
          <w:tcPr>
            <w:tcW w:w="95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FA55EC">
            <w:pPr>
              <w:spacing w:after="0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6002139" cy="310896"/>
                  <wp:effectExtent l="0" t="0" r="0" b="0"/>
                  <wp:docPr id="12747" name="Picture 1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7" name="Picture 127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2139" cy="31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18B" w:rsidRPr="00351913" w:rsidTr="00351913">
        <w:tblPrEx>
          <w:tblCellMar>
            <w:top w:w="33" w:type="dxa"/>
            <w:left w:w="14" w:type="dxa"/>
            <w:bottom w:w="5" w:type="dxa"/>
            <w:right w:w="33" w:type="dxa"/>
          </w:tblCellMar>
        </w:tblPrEx>
        <w:trPr>
          <w:trHeight w:val="48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351913">
            <w:pPr>
              <w:spacing w:after="0"/>
              <w:ind w:left="178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125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Documento social (ato constitutivo, estatuto ou contrato social em vigor).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A0118B">
            <w:pPr>
              <w:rPr>
                <w:rFonts w:asciiTheme="minorHAnsi" w:hAnsiTheme="minorHAnsi" w:cstheme="minorHAnsi"/>
              </w:rPr>
            </w:pPr>
          </w:p>
        </w:tc>
      </w:tr>
      <w:tr w:rsidR="00A0118B" w:rsidRPr="00351913" w:rsidTr="00351913">
        <w:tblPrEx>
          <w:tblCellMar>
            <w:top w:w="33" w:type="dxa"/>
            <w:left w:w="14" w:type="dxa"/>
            <w:bottom w:w="5" w:type="dxa"/>
            <w:right w:w="33" w:type="dxa"/>
          </w:tblCellMar>
        </w:tblPrEx>
        <w:trPr>
          <w:trHeight w:val="167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178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8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114" w:line="216" w:lineRule="auto"/>
              <w:ind w:left="125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Cópia dos documentos do responsável legal pelo parceiro privado (pessoa que irá assinar o acordo), consistentes em:</w:t>
            </w:r>
          </w:p>
          <w:p w:rsidR="00A0118B" w:rsidRPr="00351913" w:rsidRDefault="00FA55EC">
            <w:pPr>
              <w:numPr>
                <w:ilvl w:val="0"/>
                <w:numId w:val="2"/>
              </w:numPr>
              <w:spacing w:after="0"/>
              <w:ind w:left="845" w:hanging="365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RG, CPF e comprovante de residência; e</w:t>
            </w:r>
          </w:p>
          <w:p w:rsidR="00A0118B" w:rsidRPr="00351913" w:rsidRDefault="00FA55EC">
            <w:pPr>
              <w:numPr>
                <w:ilvl w:val="0"/>
                <w:numId w:val="2"/>
              </w:numPr>
              <w:spacing w:after="0"/>
              <w:ind w:left="845" w:hanging="365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ata de nomeação/</w:t>
            </w:r>
            <w:r w:rsidR="00351913" w:rsidRPr="00351913">
              <w:rPr>
                <w:rFonts w:asciiTheme="minorHAnsi" w:hAnsiTheme="minorHAnsi" w:cstheme="minorHAnsi"/>
              </w:rPr>
              <w:t>procuração</w:t>
            </w:r>
            <w:r w:rsidRPr="00351913">
              <w:rPr>
                <w:rFonts w:asciiTheme="minorHAnsi" w:hAnsiTheme="minorHAnsi" w:cstheme="minorHAnsi"/>
              </w:rPr>
              <w:t>, termo de posse ou documento que demonstre a legitimidade para assinar o acordo em nome do parceiro privado.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A0118B">
            <w:pPr>
              <w:rPr>
                <w:rFonts w:asciiTheme="minorHAnsi" w:hAnsiTheme="minorHAnsi" w:cstheme="minorHAnsi"/>
              </w:rPr>
            </w:pPr>
          </w:p>
        </w:tc>
      </w:tr>
      <w:tr w:rsidR="00A0118B" w:rsidRPr="00351913" w:rsidTr="00351913">
        <w:tblPrEx>
          <w:tblCellMar>
            <w:top w:w="33" w:type="dxa"/>
            <w:left w:w="14" w:type="dxa"/>
            <w:bottom w:w="5" w:type="dxa"/>
            <w:right w:w="33" w:type="dxa"/>
          </w:tblCellMar>
        </w:tblPrEx>
        <w:trPr>
          <w:trHeight w:val="48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61"/>
              <w:jc w:val="center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125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Comprovante de inscrição no Cadastro Nacional da Pessoa Jurídica — CNPJ.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A0118B">
            <w:pPr>
              <w:rPr>
                <w:rFonts w:asciiTheme="minorHAnsi" w:hAnsiTheme="minorHAnsi" w:cstheme="minorHAnsi"/>
              </w:rPr>
            </w:pPr>
          </w:p>
        </w:tc>
      </w:tr>
      <w:tr w:rsidR="00A0118B" w:rsidRPr="00351913" w:rsidTr="00351913">
        <w:tblPrEx>
          <w:tblCellMar>
            <w:top w:w="33" w:type="dxa"/>
            <w:left w:w="14" w:type="dxa"/>
            <w:bottom w:w="5" w:type="dxa"/>
            <w:right w:w="33" w:type="dxa"/>
          </w:tblCellMar>
        </w:tblPrEx>
        <w:trPr>
          <w:trHeight w:val="446"/>
        </w:trPr>
        <w:tc>
          <w:tcPr>
            <w:tcW w:w="9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0118B" w:rsidRPr="00351913" w:rsidRDefault="00FA55EC">
            <w:pPr>
              <w:spacing w:after="0"/>
              <w:ind w:left="41"/>
              <w:jc w:val="center"/>
              <w:rPr>
                <w:rFonts w:asciiTheme="minorHAnsi" w:hAnsiTheme="minorHAnsi" w:cstheme="minorHAnsi"/>
                <w:b/>
              </w:rPr>
            </w:pPr>
            <w:r w:rsidRPr="00351913">
              <w:rPr>
                <w:rFonts w:asciiTheme="minorHAnsi" w:hAnsiTheme="minorHAnsi" w:cstheme="minorHAnsi"/>
                <w:b/>
              </w:rPr>
              <w:t>Documentos: parceiro com natureza jurídica pública (SE HOUVER)</w:t>
            </w:r>
          </w:p>
        </w:tc>
      </w:tr>
      <w:tr w:rsidR="00A0118B" w:rsidRPr="00351913" w:rsidTr="00351913">
        <w:tblPrEx>
          <w:tblCellMar>
            <w:top w:w="33" w:type="dxa"/>
            <w:left w:w="14" w:type="dxa"/>
            <w:bottom w:w="5" w:type="dxa"/>
            <w:right w:w="33" w:type="dxa"/>
          </w:tblCellMar>
        </w:tblPrEx>
        <w:trPr>
          <w:trHeight w:val="191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33"/>
              <w:jc w:val="center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0118B" w:rsidRPr="00351913" w:rsidRDefault="00FA55EC">
            <w:pPr>
              <w:spacing w:after="341" w:line="216" w:lineRule="auto"/>
              <w:ind w:left="125" w:firstLine="10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Identificação da autoridade competente para celebração do acordo de parceria, com a juntada aos autos dos seguintes documentos:</w:t>
            </w:r>
          </w:p>
          <w:p w:rsidR="00A0118B" w:rsidRPr="00351913" w:rsidRDefault="00FA55EC">
            <w:pPr>
              <w:numPr>
                <w:ilvl w:val="0"/>
                <w:numId w:val="3"/>
              </w:numPr>
              <w:spacing w:after="0" w:line="216" w:lineRule="auto"/>
              <w:ind w:hanging="355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 xml:space="preserve">Publicação da nomeação da autoridade para o cargo de </w:t>
            </w:r>
            <w:r w:rsidR="00351913" w:rsidRPr="00351913">
              <w:rPr>
                <w:rFonts w:asciiTheme="minorHAnsi" w:hAnsiTheme="minorHAnsi" w:cstheme="minorHAnsi"/>
              </w:rPr>
              <w:t>direção</w:t>
            </w:r>
            <w:r w:rsidRPr="00351913">
              <w:rPr>
                <w:rFonts w:asciiTheme="minorHAnsi" w:hAnsiTheme="minorHAnsi" w:cstheme="minorHAnsi"/>
              </w:rPr>
              <w:t xml:space="preserve"> ou função de confiança; e</w:t>
            </w:r>
          </w:p>
          <w:p w:rsidR="00A0118B" w:rsidRPr="00351913" w:rsidRDefault="00FA55EC">
            <w:pPr>
              <w:numPr>
                <w:ilvl w:val="0"/>
                <w:numId w:val="3"/>
              </w:numPr>
              <w:spacing w:after="0"/>
              <w:ind w:hanging="355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Delegação de competência para a celebração do instrumento (caso não se trate da autoridade máxima institucional).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A0118B">
            <w:pPr>
              <w:rPr>
                <w:rFonts w:asciiTheme="minorHAnsi" w:hAnsiTheme="minorHAnsi" w:cstheme="minorHAnsi"/>
              </w:rPr>
            </w:pPr>
          </w:p>
        </w:tc>
      </w:tr>
      <w:tr w:rsidR="00A0118B" w:rsidRPr="00351913" w:rsidTr="00351913">
        <w:tblPrEx>
          <w:tblCellMar>
            <w:top w:w="33" w:type="dxa"/>
            <w:left w:w="14" w:type="dxa"/>
            <w:bottom w:w="5" w:type="dxa"/>
            <w:right w:w="33" w:type="dxa"/>
          </w:tblCellMar>
        </w:tblPrEx>
        <w:trPr>
          <w:trHeight w:val="175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61"/>
              <w:jc w:val="center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106" w:right="21" w:firstLine="19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Quando houver aporte de recurso financeiro do ente</w:t>
            </w:r>
            <w:r w:rsidRPr="00351913">
              <w:rPr>
                <w:rFonts w:asciiTheme="minorHAnsi" w:hAnsiTheme="minorHAnsi" w:cstheme="minorHAnsi"/>
              </w:rPr>
              <w:t xml:space="preserve"> público no projeto de pesquisa: juntar aos autos declaração de disponibilidade orçamentária emitida pelo ordenador da despesa, com a respectiva discriminação detalhada e atestando a adequação com a Lei Orçamentária Anual (LOA) e compatibilidade com a Lei </w:t>
            </w:r>
            <w:r w:rsidRPr="00351913">
              <w:rPr>
                <w:rFonts w:asciiTheme="minorHAnsi" w:hAnsiTheme="minorHAnsi" w:cstheme="minorHAnsi"/>
              </w:rPr>
              <w:t>de Diretrizes Orçamentárias (LDO) e, quando couber, como Plano Plurianual (PPA) - (Lei Complementar n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351913">
              <w:rPr>
                <w:rFonts w:asciiTheme="minorHAnsi" w:hAnsiTheme="minorHAnsi" w:cstheme="minorHAnsi"/>
              </w:rPr>
              <w:t xml:space="preserve">101, de 4 de maio de 2000, art. 16, e Decreto-Lei n 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351913">
              <w:rPr>
                <w:rFonts w:asciiTheme="minorHAnsi" w:hAnsiTheme="minorHAnsi" w:cstheme="minorHAnsi"/>
              </w:rPr>
              <w:t>200, de 25 de fevereiro de 1967, art. 73).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A0118B">
            <w:pPr>
              <w:rPr>
                <w:rFonts w:asciiTheme="minorHAnsi" w:hAnsiTheme="minorHAnsi" w:cstheme="minorHAnsi"/>
              </w:rPr>
            </w:pPr>
          </w:p>
        </w:tc>
      </w:tr>
      <w:tr w:rsidR="00A0118B" w:rsidRPr="00351913" w:rsidTr="00351913">
        <w:tblPrEx>
          <w:tblCellMar>
            <w:top w:w="33" w:type="dxa"/>
            <w:left w:w="14" w:type="dxa"/>
            <w:bottom w:w="5" w:type="dxa"/>
            <w:right w:w="33" w:type="dxa"/>
          </w:tblCellMar>
        </w:tblPrEx>
        <w:trPr>
          <w:trHeight w:val="442"/>
        </w:trPr>
        <w:tc>
          <w:tcPr>
            <w:tcW w:w="954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A0118B" w:rsidRPr="00351913" w:rsidRDefault="00FA55EC">
            <w:pPr>
              <w:spacing w:after="0"/>
              <w:ind w:left="51"/>
              <w:jc w:val="center"/>
              <w:rPr>
                <w:rFonts w:asciiTheme="minorHAnsi" w:hAnsiTheme="minorHAnsi" w:cstheme="minorHAnsi"/>
                <w:b/>
              </w:rPr>
            </w:pPr>
            <w:r w:rsidRPr="00351913">
              <w:rPr>
                <w:rFonts w:asciiTheme="minorHAnsi" w:hAnsiTheme="minorHAnsi" w:cstheme="minorHAnsi"/>
                <w:b/>
              </w:rPr>
              <w:t>Documentos: fundação de apoio (se houver interveniência)</w:t>
            </w:r>
          </w:p>
        </w:tc>
      </w:tr>
      <w:tr w:rsidR="00A0118B" w:rsidRPr="00351913" w:rsidTr="00351913">
        <w:tblPrEx>
          <w:tblCellMar>
            <w:top w:w="33" w:type="dxa"/>
            <w:left w:w="14" w:type="dxa"/>
            <w:bottom w:w="5" w:type="dxa"/>
            <w:right w:w="33" w:type="dxa"/>
          </w:tblCellMar>
        </w:tblPrEx>
        <w:trPr>
          <w:trHeight w:val="95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110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 xml:space="preserve">13 </w:t>
            </w:r>
          </w:p>
        </w:tc>
        <w:tc>
          <w:tcPr>
            <w:tcW w:w="8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right="69" w:firstLine="10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Registro e credenciamento junto ao MEC/MCTI e autorização para apoiar, em sendo o caso (art. 4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 xml:space="preserve">0 </w:t>
            </w:r>
            <w:r w:rsidRPr="00351913">
              <w:rPr>
                <w:rFonts w:asciiTheme="minorHAnsi" w:hAnsiTheme="minorHAnsi" w:cstheme="minorHAnsi"/>
              </w:rPr>
              <w:t>, §2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 xml:space="preserve">0 </w:t>
            </w:r>
            <w:r w:rsidRPr="00351913">
              <w:rPr>
                <w:rFonts w:asciiTheme="minorHAnsi" w:hAnsiTheme="minorHAnsi" w:cstheme="minorHAnsi"/>
              </w:rPr>
              <w:t xml:space="preserve">, Decreto n 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351913">
              <w:rPr>
                <w:rFonts w:asciiTheme="minorHAnsi" w:hAnsiTheme="minorHAnsi" w:cstheme="minorHAnsi"/>
              </w:rPr>
              <w:t xml:space="preserve">7.423/2010, art. 4 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>0</w:t>
            </w:r>
            <w:r w:rsidRPr="00351913">
              <w:rPr>
                <w:rFonts w:asciiTheme="minorHAnsi" w:hAnsiTheme="minorHAnsi" w:cstheme="minorHAnsi"/>
              </w:rPr>
              <w:t>, l, Portaria Interministerial MEC/MCTI n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351913">
              <w:rPr>
                <w:rFonts w:asciiTheme="minorHAnsi" w:hAnsiTheme="minorHAnsi" w:cstheme="minorHAnsi"/>
              </w:rPr>
              <w:t>191, de 13 de m</w:t>
            </w:r>
            <w:r w:rsidRPr="00351913">
              <w:rPr>
                <w:rFonts w:asciiTheme="minorHAnsi" w:hAnsiTheme="minorHAnsi" w:cstheme="minorHAnsi"/>
              </w:rPr>
              <w:t>arço de 2012 e art. 2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 xml:space="preserve">0 </w:t>
            </w:r>
            <w:r w:rsidRPr="00351913">
              <w:rPr>
                <w:rFonts w:asciiTheme="minorHAnsi" w:hAnsiTheme="minorHAnsi" w:cstheme="minorHAnsi"/>
              </w:rPr>
              <w:t>, III, Lei n</w:t>
            </w:r>
            <w:r w:rsidRPr="00351913">
              <w:rPr>
                <w:rFonts w:asciiTheme="minorHAnsi" w:hAnsiTheme="minorHAnsi" w:cstheme="minorHAnsi"/>
                <w:vertAlign w:val="superscript"/>
              </w:rPr>
              <w:t xml:space="preserve">o </w:t>
            </w:r>
            <w:r w:rsidRPr="00351913">
              <w:rPr>
                <w:rFonts w:asciiTheme="minorHAnsi" w:hAnsiTheme="minorHAnsi" w:cstheme="minorHAnsi"/>
              </w:rPr>
              <w:t>8.958/1994)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A0118B">
            <w:pPr>
              <w:rPr>
                <w:rFonts w:asciiTheme="minorHAnsi" w:hAnsiTheme="minorHAnsi" w:cstheme="minorHAnsi"/>
              </w:rPr>
            </w:pPr>
          </w:p>
        </w:tc>
      </w:tr>
      <w:tr w:rsidR="00A0118B" w:rsidRPr="00351913" w:rsidTr="00351913">
        <w:tblPrEx>
          <w:tblCellMar>
            <w:top w:w="33" w:type="dxa"/>
            <w:left w:w="14" w:type="dxa"/>
            <w:bottom w:w="5" w:type="dxa"/>
            <w:right w:w="33" w:type="dxa"/>
          </w:tblCellMar>
        </w:tblPrEx>
        <w:trPr>
          <w:trHeight w:val="696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101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 xml:space="preserve">14 </w:t>
            </w:r>
          </w:p>
        </w:tc>
        <w:tc>
          <w:tcPr>
            <w:tcW w:w="8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FA55EC">
            <w:pPr>
              <w:spacing w:after="0"/>
              <w:ind w:left="38" w:right="21" w:firstLine="10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Documentos do Responsável Legal da FUNDAÇÃO DE APOIO — pessoa que irá assinar o contrato (RG, CPF e Comprovante de Residência + Ata de Nomeação, Termo de Posse ou documento correlato)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A0118B">
            <w:pPr>
              <w:rPr>
                <w:rFonts w:asciiTheme="minorHAnsi" w:hAnsiTheme="minorHAnsi" w:cstheme="minorHAnsi"/>
              </w:rPr>
            </w:pPr>
          </w:p>
        </w:tc>
      </w:tr>
      <w:tr w:rsidR="00A0118B" w:rsidRPr="00351913" w:rsidTr="00351913">
        <w:tblPrEx>
          <w:tblCellMar>
            <w:top w:w="33" w:type="dxa"/>
            <w:left w:w="14" w:type="dxa"/>
            <w:bottom w:w="5" w:type="dxa"/>
            <w:right w:w="33" w:type="dxa"/>
          </w:tblCellMar>
        </w:tblPrEx>
        <w:trPr>
          <w:trHeight w:val="5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101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FA55EC">
            <w:pPr>
              <w:spacing w:after="0"/>
              <w:ind w:left="48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Comprovação da regularidade fiscal e trabalhista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A0118B">
            <w:pPr>
              <w:rPr>
                <w:rFonts w:asciiTheme="minorHAnsi" w:hAnsiTheme="minorHAnsi" w:cstheme="minorHAnsi"/>
              </w:rPr>
            </w:pPr>
          </w:p>
        </w:tc>
      </w:tr>
      <w:tr w:rsidR="00A0118B" w:rsidRPr="00351913" w:rsidTr="00351913">
        <w:tblPrEx>
          <w:tblCellMar>
            <w:top w:w="33" w:type="dxa"/>
            <w:left w:w="14" w:type="dxa"/>
            <w:bottom w:w="5" w:type="dxa"/>
            <w:right w:w="33" w:type="dxa"/>
          </w:tblCellMar>
        </w:tblPrEx>
        <w:trPr>
          <w:trHeight w:val="59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101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8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FA55EC">
            <w:pPr>
              <w:spacing w:after="0"/>
              <w:ind w:left="38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Justificativa para a contratação (caso exista mais que uma Fundação).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A0118B">
            <w:pPr>
              <w:rPr>
                <w:rFonts w:asciiTheme="minorHAnsi" w:hAnsiTheme="minorHAnsi" w:cstheme="minorHAnsi"/>
              </w:rPr>
            </w:pPr>
          </w:p>
        </w:tc>
      </w:tr>
      <w:tr w:rsidR="00A0118B" w:rsidRPr="00351913" w:rsidTr="00351913">
        <w:tblPrEx>
          <w:tblCellMar>
            <w:top w:w="33" w:type="dxa"/>
            <w:left w:w="14" w:type="dxa"/>
            <w:bottom w:w="5" w:type="dxa"/>
            <w:right w:w="33" w:type="dxa"/>
          </w:tblCellMar>
        </w:tblPrEx>
        <w:trPr>
          <w:trHeight w:val="93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118B" w:rsidRPr="00351913" w:rsidRDefault="00FA55EC">
            <w:pPr>
              <w:spacing w:after="0"/>
              <w:ind w:left="101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lastRenderedPageBreak/>
              <w:t>17</w:t>
            </w:r>
          </w:p>
        </w:tc>
        <w:tc>
          <w:tcPr>
            <w:tcW w:w="84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FA55EC">
            <w:pPr>
              <w:spacing w:after="0"/>
              <w:ind w:left="38" w:right="31" w:firstLine="10"/>
              <w:jc w:val="both"/>
              <w:rPr>
                <w:rFonts w:asciiTheme="minorHAnsi" w:hAnsiTheme="minorHAnsi" w:cstheme="minorHAnsi"/>
              </w:rPr>
            </w:pPr>
            <w:r w:rsidRPr="00351913">
              <w:rPr>
                <w:rFonts w:asciiTheme="minorHAnsi" w:hAnsiTheme="minorHAnsi" w:cstheme="minorHAnsi"/>
              </w:rPr>
              <w:t>Proposta da fundação de apoio, demonstrando os serviços de suporte ao projeto, contendo, inclusive, a planilha demonstrativa do</w:t>
            </w:r>
            <w:r w:rsidRPr="00351913">
              <w:rPr>
                <w:rFonts w:asciiTheme="minorHAnsi" w:hAnsiTheme="minorHAnsi" w:cstheme="minorHAnsi"/>
              </w:rPr>
              <w:t>s seus custos operacionais incorridos na execução de suas atividades.</w:t>
            </w:r>
          </w:p>
        </w:tc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118B" w:rsidRPr="00351913" w:rsidRDefault="00A0118B">
            <w:pPr>
              <w:rPr>
                <w:rFonts w:asciiTheme="minorHAnsi" w:hAnsiTheme="minorHAnsi" w:cstheme="minorHAnsi"/>
              </w:rPr>
            </w:pPr>
          </w:p>
        </w:tc>
      </w:tr>
    </w:tbl>
    <w:p w:rsidR="00351913" w:rsidRDefault="00351913">
      <w:pPr>
        <w:spacing w:after="188" w:line="216" w:lineRule="auto"/>
        <w:ind w:left="-5" w:right="100"/>
        <w:jc w:val="both"/>
        <w:rPr>
          <w:rFonts w:asciiTheme="minorHAnsi" w:hAnsiTheme="minorHAnsi" w:cstheme="minorHAnsi"/>
        </w:rPr>
      </w:pPr>
    </w:p>
    <w:p w:rsidR="00A0118B" w:rsidRPr="00351913" w:rsidRDefault="00FA55EC">
      <w:pPr>
        <w:spacing w:after="188" w:line="216" w:lineRule="auto"/>
        <w:ind w:left="-5" w:right="100"/>
        <w:jc w:val="both"/>
        <w:rPr>
          <w:rFonts w:asciiTheme="minorHAnsi" w:hAnsiTheme="minorHAnsi" w:cstheme="minorHAnsi"/>
        </w:rPr>
      </w:pPr>
      <w:proofErr w:type="spellStart"/>
      <w:r w:rsidRPr="00351913">
        <w:rPr>
          <w:rFonts w:asciiTheme="minorHAnsi" w:hAnsiTheme="minorHAnsi" w:cstheme="minorHAnsi"/>
        </w:rPr>
        <w:t>Obs</w:t>
      </w:r>
      <w:proofErr w:type="spellEnd"/>
      <w:r w:rsidRPr="00351913">
        <w:rPr>
          <w:rFonts w:asciiTheme="minorHAnsi" w:hAnsiTheme="minorHAnsi" w:cstheme="minorHAnsi"/>
        </w:rPr>
        <w:t xml:space="preserve"> n </w:t>
      </w:r>
      <w:r w:rsidRPr="00351913">
        <w:rPr>
          <w:rFonts w:asciiTheme="minorHAnsi" w:hAnsiTheme="minorHAnsi" w:cstheme="minorHAnsi"/>
          <w:vertAlign w:val="superscript"/>
        </w:rPr>
        <w:t xml:space="preserve">o </w:t>
      </w:r>
      <w:r w:rsidRPr="00351913">
        <w:rPr>
          <w:rFonts w:asciiTheme="minorHAnsi" w:hAnsiTheme="minorHAnsi" w:cstheme="minorHAnsi"/>
        </w:rPr>
        <w:t>1: cabe à área competente da ICT/agência de fomento observar se, além dos</w:t>
      </w:r>
      <w:r w:rsidR="00351913">
        <w:rPr>
          <w:rFonts w:asciiTheme="minorHAnsi" w:hAnsiTheme="minorHAnsi" w:cstheme="minorHAnsi"/>
        </w:rPr>
        <w:t xml:space="preserve"> </w:t>
      </w:r>
      <w:r w:rsidRPr="00351913">
        <w:rPr>
          <w:rFonts w:asciiTheme="minorHAnsi" w:hAnsiTheme="minorHAnsi" w:cstheme="minorHAnsi"/>
        </w:rPr>
        <w:t>documentos acima listados, há outros necessários à instrução processual (referidos documentos dependem de cada caso e da regulamentação interna da instituição).</w:t>
      </w:r>
    </w:p>
    <w:p w:rsidR="00A0118B" w:rsidRPr="00351913" w:rsidRDefault="00FA55EC">
      <w:pPr>
        <w:spacing w:after="188" w:line="216" w:lineRule="auto"/>
        <w:ind w:left="-5" w:right="100"/>
        <w:jc w:val="both"/>
        <w:rPr>
          <w:rFonts w:asciiTheme="minorHAnsi" w:hAnsiTheme="minorHAnsi" w:cstheme="minorHAnsi"/>
        </w:rPr>
      </w:pPr>
      <w:proofErr w:type="spellStart"/>
      <w:r w:rsidRPr="00351913">
        <w:rPr>
          <w:rFonts w:asciiTheme="minorHAnsi" w:hAnsiTheme="minorHAnsi" w:cstheme="minorHAnsi"/>
        </w:rPr>
        <w:t>Obs</w:t>
      </w:r>
      <w:proofErr w:type="spellEnd"/>
      <w:r w:rsidRPr="00351913">
        <w:rPr>
          <w:rFonts w:asciiTheme="minorHAnsi" w:hAnsiTheme="minorHAnsi" w:cstheme="minorHAnsi"/>
        </w:rPr>
        <w:t xml:space="preserve"> n</w:t>
      </w:r>
      <w:r w:rsidRPr="00351913">
        <w:rPr>
          <w:rFonts w:asciiTheme="minorHAnsi" w:hAnsiTheme="minorHAnsi" w:cstheme="minorHAnsi"/>
          <w:vertAlign w:val="superscript"/>
        </w:rPr>
        <w:t xml:space="preserve">o </w:t>
      </w:r>
      <w:r w:rsidRPr="00351913">
        <w:rPr>
          <w:rFonts w:asciiTheme="minorHAnsi" w:hAnsiTheme="minorHAnsi" w:cstheme="minorHAnsi"/>
        </w:rPr>
        <w:t>2: a ausência d</w:t>
      </w:r>
      <w:r w:rsidRPr="00351913">
        <w:rPr>
          <w:rFonts w:asciiTheme="minorHAnsi" w:hAnsiTheme="minorHAnsi" w:cstheme="minorHAnsi"/>
        </w:rPr>
        <w:t>e qualquer dos documentos listados na lista de verificação deverá ser justificada pela área competente da ICT/agência de fomento.</w:t>
      </w:r>
    </w:p>
    <w:sectPr w:rsidR="00A0118B" w:rsidRPr="00351913">
      <w:pgSz w:w="11899" w:h="16838"/>
      <w:pgMar w:top="1430" w:right="796" w:bottom="1445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F71"/>
    <w:multiLevelType w:val="hybridMultilevel"/>
    <w:tmpl w:val="1F8824C4"/>
    <w:lvl w:ilvl="0" w:tplc="04160013">
      <w:start w:val="1"/>
      <w:numFmt w:val="upperRoman"/>
      <w:lvlText w:val="%1."/>
      <w:lvlJc w:val="right"/>
      <w:pPr>
        <w:ind w:left="804" w:hanging="360"/>
      </w:pPr>
    </w:lvl>
    <w:lvl w:ilvl="1" w:tplc="04160019" w:tentative="1">
      <w:start w:val="1"/>
      <w:numFmt w:val="lowerLetter"/>
      <w:lvlText w:val="%2."/>
      <w:lvlJc w:val="left"/>
      <w:pPr>
        <w:ind w:left="1524" w:hanging="360"/>
      </w:pPr>
    </w:lvl>
    <w:lvl w:ilvl="2" w:tplc="0416001B" w:tentative="1">
      <w:start w:val="1"/>
      <w:numFmt w:val="lowerRoman"/>
      <w:lvlText w:val="%3."/>
      <w:lvlJc w:val="right"/>
      <w:pPr>
        <w:ind w:left="2244" w:hanging="180"/>
      </w:pPr>
    </w:lvl>
    <w:lvl w:ilvl="3" w:tplc="0416000F" w:tentative="1">
      <w:start w:val="1"/>
      <w:numFmt w:val="decimal"/>
      <w:lvlText w:val="%4."/>
      <w:lvlJc w:val="left"/>
      <w:pPr>
        <w:ind w:left="2964" w:hanging="360"/>
      </w:pPr>
    </w:lvl>
    <w:lvl w:ilvl="4" w:tplc="04160019" w:tentative="1">
      <w:start w:val="1"/>
      <w:numFmt w:val="lowerLetter"/>
      <w:lvlText w:val="%5."/>
      <w:lvlJc w:val="left"/>
      <w:pPr>
        <w:ind w:left="3684" w:hanging="360"/>
      </w:pPr>
    </w:lvl>
    <w:lvl w:ilvl="5" w:tplc="0416001B" w:tentative="1">
      <w:start w:val="1"/>
      <w:numFmt w:val="lowerRoman"/>
      <w:lvlText w:val="%6."/>
      <w:lvlJc w:val="right"/>
      <w:pPr>
        <w:ind w:left="4404" w:hanging="180"/>
      </w:pPr>
    </w:lvl>
    <w:lvl w:ilvl="6" w:tplc="0416000F" w:tentative="1">
      <w:start w:val="1"/>
      <w:numFmt w:val="decimal"/>
      <w:lvlText w:val="%7."/>
      <w:lvlJc w:val="left"/>
      <w:pPr>
        <w:ind w:left="5124" w:hanging="360"/>
      </w:pPr>
    </w:lvl>
    <w:lvl w:ilvl="7" w:tplc="04160019" w:tentative="1">
      <w:start w:val="1"/>
      <w:numFmt w:val="lowerLetter"/>
      <w:lvlText w:val="%8."/>
      <w:lvlJc w:val="left"/>
      <w:pPr>
        <w:ind w:left="5844" w:hanging="360"/>
      </w:pPr>
    </w:lvl>
    <w:lvl w:ilvl="8" w:tplc="041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 w15:restartNumberingAfterBreak="0">
    <w:nsid w:val="505F19C8"/>
    <w:multiLevelType w:val="hybridMultilevel"/>
    <w:tmpl w:val="1ECCD9D2"/>
    <w:lvl w:ilvl="0" w:tplc="04160013">
      <w:start w:val="1"/>
      <w:numFmt w:val="upperRoman"/>
      <w:lvlText w:val="%1."/>
      <w:lvlJc w:val="right"/>
      <w:pPr>
        <w:ind w:left="74"/>
      </w:pPr>
      <w:rPr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343A04C0">
      <w:start w:val="1"/>
      <w:numFmt w:val="lowerLetter"/>
      <w:lvlText w:val="%2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851849FA">
      <w:start w:val="1"/>
      <w:numFmt w:val="lowerRoman"/>
      <w:lvlText w:val="%3"/>
      <w:lvlJc w:val="left"/>
      <w:pPr>
        <w:ind w:left="1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4992BEA8">
      <w:start w:val="1"/>
      <w:numFmt w:val="decimal"/>
      <w:lvlText w:val="%4"/>
      <w:lvlJc w:val="left"/>
      <w:pPr>
        <w:ind w:left="2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C8E81FE4">
      <w:start w:val="1"/>
      <w:numFmt w:val="lowerLetter"/>
      <w:lvlText w:val="%5"/>
      <w:lvlJc w:val="left"/>
      <w:pPr>
        <w:ind w:left="3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CF1CE072">
      <w:start w:val="1"/>
      <w:numFmt w:val="lowerRoman"/>
      <w:lvlText w:val="%6"/>
      <w:lvlJc w:val="left"/>
      <w:pPr>
        <w:ind w:left="4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F6BE6036">
      <w:start w:val="1"/>
      <w:numFmt w:val="decimal"/>
      <w:lvlText w:val="%7"/>
      <w:lvlJc w:val="left"/>
      <w:pPr>
        <w:ind w:left="4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4B44DE70">
      <w:start w:val="1"/>
      <w:numFmt w:val="lowerLetter"/>
      <w:lvlText w:val="%8"/>
      <w:lvlJc w:val="left"/>
      <w:pPr>
        <w:ind w:left="5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E7E01180">
      <w:start w:val="1"/>
      <w:numFmt w:val="lowerRoman"/>
      <w:lvlText w:val="%9"/>
      <w:lvlJc w:val="left"/>
      <w:pPr>
        <w:ind w:left="6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5E1E0F"/>
    <w:multiLevelType w:val="hybridMultilevel"/>
    <w:tmpl w:val="D722CA24"/>
    <w:lvl w:ilvl="0" w:tplc="50C06720">
      <w:start w:val="1"/>
      <w:numFmt w:val="bullet"/>
      <w:lvlText w:val="•"/>
      <w:lvlJc w:val="left"/>
      <w:pPr>
        <w:ind w:left="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02A927C">
      <w:start w:val="1"/>
      <w:numFmt w:val="bullet"/>
      <w:lvlText w:val="o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28EA64">
      <w:start w:val="1"/>
      <w:numFmt w:val="bullet"/>
      <w:lvlText w:val="▪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E3AF334">
      <w:start w:val="1"/>
      <w:numFmt w:val="bullet"/>
      <w:lvlText w:val="•"/>
      <w:lvlJc w:val="left"/>
      <w:pPr>
        <w:ind w:left="3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DBCE5E4">
      <w:start w:val="1"/>
      <w:numFmt w:val="bullet"/>
      <w:lvlText w:val="o"/>
      <w:lvlJc w:val="left"/>
      <w:pPr>
        <w:ind w:left="3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8EA8AE">
      <w:start w:val="1"/>
      <w:numFmt w:val="bullet"/>
      <w:lvlText w:val="▪"/>
      <w:lvlJc w:val="left"/>
      <w:pPr>
        <w:ind w:left="4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16F3C0">
      <w:start w:val="1"/>
      <w:numFmt w:val="bullet"/>
      <w:lvlText w:val="•"/>
      <w:lvlJc w:val="left"/>
      <w:pPr>
        <w:ind w:left="5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041E68">
      <w:start w:val="1"/>
      <w:numFmt w:val="bullet"/>
      <w:lvlText w:val="o"/>
      <w:lvlJc w:val="left"/>
      <w:pPr>
        <w:ind w:left="5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AEF47C">
      <w:start w:val="1"/>
      <w:numFmt w:val="bullet"/>
      <w:lvlText w:val="▪"/>
      <w:lvlJc w:val="left"/>
      <w:pPr>
        <w:ind w:left="6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482FB3"/>
    <w:multiLevelType w:val="hybridMultilevel"/>
    <w:tmpl w:val="2F30BD6A"/>
    <w:lvl w:ilvl="0" w:tplc="0416000F">
      <w:start w:val="1"/>
      <w:numFmt w:val="decimal"/>
      <w:lvlText w:val="%1."/>
      <w:lvlJc w:val="left"/>
      <w:pPr>
        <w:ind w:left="804" w:hanging="360"/>
      </w:pPr>
    </w:lvl>
    <w:lvl w:ilvl="1" w:tplc="04160019" w:tentative="1">
      <w:start w:val="1"/>
      <w:numFmt w:val="lowerLetter"/>
      <w:lvlText w:val="%2."/>
      <w:lvlJc w:val="left"/>
      <w:pPr>
        <w:ind w:left="1524" w:hanging="360"/>
      </w:pPr>
    </w:lvl>
    <w:lvl w:ilvl="2" w:tplc="0416001B" w:tentative="1">
      <w:start w:val="1"/>
      <w:numFmt w:val="lowerRoman"/>
      <w:lvlText w:val="%3."/>
      <w:lvlJc w:val="right"/>
      <w:pPr>
        <w:ind w:left="2244" w:hanging="180"/>
      </w:pPr>
    </w:lvl>
    <w:lvl w:ilvl="3" w:tplc="0416000F" w:tentative="1">
      <w:start w:val="1"/>
      <w:numFmt w:val="decimal"/>
      <w:lvlText w:val="%4."/>
      <w:lvlJc w:val="left"/>
      <w:pPr>
        <w:ind w:left="2964" w:hanging="360"/>
      </w:pPr>
    </w:lvl>
    <w:lvl w:ilvl="4" w:tplc="04160019" w:tentative="1">
      <w:start w:val="1"/>
      <w:numFmt w:val="lowerLetter"/>
      <w:lvlText w:val="%5."/>
      <w:lvlJc w:val="left"/>
      <w:pPr>
        <w:ind w:left="3684" w:hanging="360"/>
      </w:pPr>
    </w:lvl>
    <w:lvl w:ilvl="5" w:tplc="0416001B" w:tentative="1">
      <w:start w:val="1"/>
      <w:numFmt w:val="lowerRoman"/>
      <w:lvlText w:val="%6."/>
      <w:lvlJc w:val="right"/>
      <w:pPr>
        <w:ind w:left="4404" w:hanging="180"/>
      </w:pPr>
    </w:lvl>
    <w:lvl w:ilvl="6" w:tplc="0416000F" w:tentative="1">
      <w:start w:val="1"/>
      <w:numFmt w:val="decimal"/>
      <w:lvlText w:val="%7."/>
      <w:lvlJc w:val="left"/>
      <w:pPr>
        <w:ind w:left="5124" w:hanging="360"/>
      </w:pPr>
    </w:lvl>
    <w:lvl w:ilvl="7" w:tplc="04160019" w:tentative="1">
      <w:start w:val="1"/>
      <w:numFmt w:val="lowerLetter"/>
      <w:lvlText w:val="%8."/>
      <w:lvlJc w:val="left"/>
      <w:pPr>
        <w:ind w:left="5844" w:hanging="360"/>
      </w:pPr>
    </w:lvl>
    <w:lvl w:ilvl="8" w:tplc="0416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765D1EC8"/>
    <w:multiLevelType w:val="hybridMultilevel"/>
    <w:tmpl w:val="42FE7FDE"/>
    <w:lvl w:ilvl="0" w:tplc="D32844EC">
      <w:start w:val="1"/>
      <w:numFmt w:val="bullet"/>
      <w:lvlText w:val="•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51E9462">
      <w:start w:val="1"/>
      <w:numFmt w:val="bullet"/>
      <w:lvlText w:val="o"/>
      <w:lvlJc w:val="left"/>
      <w:pPr>
        <w:ind w:left="1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952C19C">
      <w:start w:val="1"/>
      <w:numFmt w:val="bullet"/>
      <w:lvlText w:val="▪"/>
      <w:lvlJc w:val="left"/>
      <w:pPr>
        <w:ind w:left="22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E9E9152">
      <w:start w:val="1"/>
      <w:numFmt w:val="bullet"/>
      <w:lvlText w:val="•"/>
      <w:lvlJc w:val="left"/>
      <w:pPr>
        <w:ind w:left="30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5D4E242">
      <w:start w:val="1"/>
      <w:numFmt w:val="bullet"/>
      <w:lvlText w:val="o"/>
      <w:lvlJc w:val="left"/>
      <w:pPr>
        <w:ind w:left="37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AF4F446">
      <w:start w:val="1"/>
      <w:numFmt w:val="bullet"/>
      <w:lvlText w:val="▪"/>
      <w:lvlJc w:val="left"/>
      <w:pPr>
        <w:ind w:left="4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D448100">
      <w:start w:val="1"/>
      <w:numFmt w:val="bullet"/>
      <w:lvlText w:val="•"/>
      <w:lvlJc w:val="left"/>
      <w:pPr>
        <w:ind w:left="5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BE00046">
      <w:start w:val="1"/>
      <w:numFmt w:val="bullet"/>
      <w:lvlText w:val="o"/>
      <w:lvlJc w:val="left"/>
      <w:pPr>
        <w:ind w:left="5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57C5574">
      <w:start w:val="1"/>
      <w:numFmt w:val="bullet"/>
      <w:lvlText w:val="▪"/>
      <w:lvlJc w:val="left"/>
      <w:pPr>
        <w:ind w:left="6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8B"/>
    <w:rsid w:val="00351913"/>
    <w:rsid w:val="00A0118B"/>
    <w:rsid w:val="00FA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FE7D"/>
  <w15:docId w15:val="{BB3CF9F5-90CC-41BB-ADEB-9F1D0DB8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66"/>
      <w:ind w:left="614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3519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519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gov.br/agu/pt-br/composicao/procuradoria-geral-federal-1/subprocuradoria-federal-de-consultoria-juridica/ciencia-tecnologia-e-inovacao/e-ct-i/e-cti-do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Lorrane Rosario Barbosa</dc:creator>
  <cp:keywords/>
  <cp:lastModifiedBy>Bruna Lorrane Rosario Barbosa</cp:lastModifiedBy>
  <cp:revision>2</cp:revision>
  <dcterms:created xsi:type="dcterms:W3CDTF">2025-01-06T14:58:00Z</dcterms:created>
  <dcterms:modified xsi:type="dcterms:W3CDTF">2025-01-06T14:58:00Z</dcterms:modified>
</cp:coreProperties>
</file>