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475"/>
        <w:rPr>
          <w:rFonts w:ascii="Times New Roman"/>
        </w:rPr>
      </w:pPr>
      <w:bookmarkStart w:name="Projeto 5105930" w:id="1"/>
      <w:bookmarkEnd w:id="1"/>
      <w:r>
        <w:rPr/>
      </w:r>
      <w:r>
        <w:rPr>
          <w:rFonts w:ascii="Times New Roman"/>
        </w:rPr>
        <w:drawing>
          <wp:inline distT="0" distB="0" distL="0" distR="0">
            <wp:extent cx="1149697" cy="112814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97" cy="112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spacing w:line="367" w:lineRule="auto" w:before="60"/>
        <w:ind w:left="3185" w:right="3190" w:firstLine="0"/>
        <w:jc w:val="center"/>
        <w:rPr>
          <w:sz w:val="22"/>
        </w:rPr>
      </w:pPr>
      <w:r>
        <w:rPr>
          <w:sz w:val="20"/>
        </w:rPr>
        <w:t>UNIVERSIDADE FEDERAL DE MINAS GERAIS </w:t>
      </w:r>
      <w:r>
        <w:rPr>
          <w:sz w:val="22"/>
        </w:rPr>
        <w:t>PRÓ-REITORIA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PESQUISA</w:t>
      </w:r>
      <w:r>
        <w:rPr>
          <w:spacing w:val="80"/>
          <w:sz w:val="22"/>
        </w:rPr>
        <w:t> </w:t>
      </w:r>
      <w:r>
        <w:rPr>
          <w:spacing w:val="-2"/>
          <w:sz w:val="22"/>
        </w:rPr>
        <w:t>GABINETE</w:t>
      </w:r>
    </w:p>
    <w:p>
      <w:pPr>
        <w:pStyle w:val="Title"/>
      </w:pPr>
      <w:r>
        <w:rPr>
          <w:spacing w:val="-2"/>
        </w:rPr>
        <w:t>PROJETO</w:t>
      </w:r>
    </w:p>
    <w:p>
      <w:pPr>
        <w:spacing w:before="250"/>
        <w:ind w:left="230" w:right="0" w:firstLine="0"/>
        <w:jc w:val="left"/>
        <w:rPr>
          <w:sz w:val="22"/>
        </w:rPr>
      </w:pPr>
      <w:r>
        <w:rPr>
          <w:sz w:val="22"/>
        </w:rPr>
        <w:t>Processo</w:t>
      </w:r>
      <w:r>
        <w:rPr>
          <w:spacing w:val="21"/>
          <w:sz w:val="22"/>
        </w:rPr>
        <w:t> </w:t>
      </w:r>
      <w:r>
        <w:rPr>
          <w:sz w:val="22"/>
        </w:rPr>
        <w:t>nº</w:t>
      </w:r>
      <w:r>
        <w:rPr>
          <w:spacing w:val="21"/>
          <w:sz w:val="22"/>
        </w:rPr>
        <w:t> </w:t>
      </w:r>
      <w:r>
        <w:rPr>
          <w:sz w:val="22"/>
        </w:rPr>
        <w:t>23072.241992/2025-</w:t>
      </w:r>
      <w:r>
        <w:rPr>
          <w:spacing w:val="-5"/>
          <w:sz w:val="22"/>
        </w:rPr>
        <w:t>41</w:t>
      </w:r>
    </w:p>
    <w:p>
      <w:pPr>
        <w:pStyle w:val="BodyText"/>
        <w:spacing w:before="150"/>
        <w:ind w:left="117"/>
      </w:pPr>
      <w:r>
        <w:rPr/>
        <w:t>PROJETO</w:t>
      </w:r>
      <w:r>
        <w:rPr>
          <w:spacing w:val="5"/>
        </w:rPr>
        <w:t> </w:t>
      </w:r>
      <w:r>
        <w:rPr/>
        <w:t>DE</w:t>
      </w:r>
      <w:r>
        <w:rPr>
          <w:spacing w:val="4"/>
        </w:rPr>
        <w:t> </w:t>
      </w:r>
      <w:r>
        <w:rPr/>
        <w:t>DESENVOLVIMENTO</w:t>
      </w:r>
      <w:r>
        <w:rPr>
          <w:spacing w:val="5"/>
        </w:rPr>
        <w:t> </w:t>
      </w:r>
      <w:r>
        <w:rPr>
          <w:spacing w:val="-2"/>
        </w:rPr>
        <w:t>INSTITUCIONAL</w:t>
      </w:r>
    </w:p>
    <w:p>
      <w:pPr>
        <w:pStyle w:val="Heading1"/>
        <w:spacing w:line="283" w:lineRule="auto" w:before="189"/>
        <w:ind w:left="117" w:right="234" w:firstLine="0"/>
      </w:pPr>
      <w:r>
        <w:rPr/>
        <w:t>INCREMENTO QUALITATIVO E QUANTITATIVO DA PESQUISA CIENTÍFICA E TECNOLÓGICA E DA INOVAÇÃO NA UNIVERSIDADE FEDERAL DE MINAS GERAIS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7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INTRODUÇÃO</w:t>
      </w:r>
    </w:p>
    <w:p>
      <w:pPr>
        <w:pStyle w:val="BodyText"/>
        <w:spacing w:line="283" w:lineRule="auto" w:before="189"/>
        <w:ind w:left="117" w:right="234"/>
      </w:pPr>
      <w:r>
        <w:rPr/>
        <w:t>A</w:t>
      </w:r>
      <w:r>
        <w:rPr>
          <w:spacing w:val="18"/>
        </w:rPr>
        <w:t> </w:t>
      </w:r>
      <w:r>
        <w:rPr/>
        <w:t>Pró-Reitoria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Pesquisa</w:t>
      </w:r>
      <w:r>
        <w:rPr>
          <w:spacing w:val="18"/>
        </w:rPr>
        <w:t> </w:t>
      </w:r>
      <w:r>
        <w:rPr/>
        <w:t>(PRPq)</w:t>
      </w:r>
      <w:r>
        <w:rPr>
          <w:spacing w:val="18"/>
        </w:rPr>
        <w:t> </w:t>
      </w:r>
      <w:r>
        <w:rPr/>
        <w:t>da</w:t>
      </w:r>
      <w:r>
        <w:rPr>
          <w:spacing w:val="18"/>
        </w:rPr>
        <w:t> </w:t>
      </w:r>
      <w:r>
        <w:rPr/>
        <w:t>Universidade</w:t>
      </w:r>
      <w:r>
        <w:rPr>
          <w:spacing w:val="18"/>
        </w:rPr>
        <w:t> </w:t>
      </w:r>
      <w:r>
        <w:rPr/>
        <w:t>Federal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Minas</w:t>
      </w:r>
      <w:r>
        <w:rPr>
          <w:spacing w:val="19"/>
        </w:rPr>
        <w:t> </w:t>
      </w:r>
      <w:r>
        <w:rPr/>
        <w:t>Gerais</w:t>
      </w:r>
      <w:r>
        <w:rPr>
          <w:spacing w:val="19"/>
        </w:rPr>
        <w:t> </w:t>
      </w:r>
      <w:r>
        <w:rPr/>
        <w:t>(UFMG)</w:t>
      </w:r>
      <w:r>
        <w:rPr>
          <w:spacing w:val="18"/>
        </w:rPr>
        <w:t> </w:t>
      </w:r>
      <w:r>
        <w:rPr/>
        <w:t>tem</w:t>
      </w:r>
      <w:r>
        <w:rPr>
          <w:spacing w:val="18"/>
        </w:rPr>
        <w:t> </w:t>
      </w:r>
      <w:r>
        <w:rPr/>
        <w:t>como</w:t>
      </w:r>
      <w:r>
        <w:rPr>
          <w:spacing w:val="18"/>
        </w:rPr>
        <w:t> </w:t>
      </w:r>
      <w:r>
        <w:rPr/>
        <w:t>missão</w:t>
      </w:r>
      <w:r>
        <w:rPr/>
        <w:t> institucional assessorar a Reitoria nos assuntos relativos à pesquisa científica e tecnológica, além de estimular e fomentar a criação, o desenvolvimento e a consolidação dos grupos e projetos de pesquisa sediados na UFMG e da infraestrutura física e tecnológica que lhes dá suporte. Para atingir esse fim, a PRPq atua como aglutinadora de grandes projetos de pesquisa institucionais, que congregam equipes de diferentes institutos e disciplinas, e fomenta propostas individuais, em especial aquelas coordenadas por docentes recém-contratados. Tais iniciativas se traduzem, de um lado, na participação bem-sucedida da UFMG em iniciativas de grande porte financiadas pela Financiadora de Estudos e Projetos (FINEP), Fundação de Amparo à Pesquisa do Estado de Minas Gerais (FAPEMIG),</w:t>
      </w:r>
      <w:r>
        <w:rPr>
          <w:spacing w:val="19"/>
        </w:rPr>
        <w:t> </w:t>
      </w:r>
      <w:r>
        <w:rPr/>
        <w:t>Ministério</w:t>
      </w:r>
      <w:r>
        <w:rPr>
          <w:spacing w:val="18"/>
        </w:rPr>
        <w:t> </w:t>
      </w:r>
      <w:r>
        <w:rPr/>
        <w:t>da</w:t>
      </w:r>
      <w:r>
        <w:rPr>
          <w:spacing w:val="18"/>
        </w:rPr>
        <w:t> </w:t>
      </w:r>
      <w:r>
        <w:rPr/>
        <w:t>Ciência,</w:t>
      </w:r>
      <w:r>
        <w:rPr>
          <w:spacing w:val="19"/>
        </w:rPr>
        <w:t> </w:t>
      </w:r>
      <w:r>
        <w:rPr/>
        <w:t>Tecnologia</w:t>
      </w:r>
      <w:r>
        <w:rPr>
          <w:spacing w:val="18"/>
        </w:rPr>
        <w:t> </w:t>
      </w:r>
      <w:r>
        <w:rPr/>
        <w:t>e</w:t>
      </w:r>
      <w:r>
        <w:rPr>
          <w:spacing w:val="18"/>
        </w:rPr>
        <w:t> </w:t>
      </w:r>
      <w:r>
        <w:rPr/>
        <w:t>Inovações</w:t>
      </w:r>
      <w:r>
        <w:rPr>
          <w:spacing w:val="19"/>
        </w:rPr>
        <w:t> </w:t>
      </w:r>
      <w:r>
        <w:rPr/>
        <w:t>(MCTI),</w:t>
      </w:r>
      <w:r>
        <w:rPr>
          <w:spacing w:val="19"/>
        </w:rPr>
        <w:t> </w:t>
      </w:r>
      <w:r>
        <w:rPr/>
        <w:t>dentre</w:t>
      </w:r>
      <w:r>
        <w:rPr>
          <w:spacing w:val="18"/>
        </w:rPr>
        <w:t> </w:t>
      </w:r>
      <w:r>
        <w:rPr/>
        <w:t>outros</w:t>
      </w:r>
      <w:r>
        <w:rPr>
          <w:spacing w:val="19"/>
        </w:rPr>
        <w:t> </w:t>
      </w:r>
      <w:r>
        <w:rPr/>
        <w:t>organismos,</w:t>
      </w:r>
      <w:r>
        <w:rPr>
          <w:spacing w:val="19"/>
        </w:rPr>
        <w:t> </w:t>
      </w:r>
      <w:r>
        <w:rPr/>
        <w:t>e,</w:t>
      </w:r>
      <w:r>
        <w:rPr>
          <w:spacing w:val="19"/>
        </w:rPr>
        <w:t> </w:t>
      </w:r>
      <w:r>
        <w:rPr/>
        <w:t>de</w:t>
      </w:r>
      <w:r>
        <w:rPr>
          <w:spacing w:val="18"/>
        </w:rPr>
        <w:t> </w:t>
      </w:r>
      <w:r>
        <w:rPr/>
        <w:t>outro,</w:t>
      </w:r>
      <w:r>
        <w:rPr>
          <w:spacing w:val="19"/>
        </w:rPr>
        <w:t> </w:t>
      </w:r>
      <w:r>
        <w:rPr/>
        <w:t>em editais de fomento lançados anualmente pela PRPq para a alocação de bolsas de iniciação científica e de recursos para projetos e infraestruturas de pesquisa.</w:t>
      </w:r>
    </w:p>
    <w:p>
      <w:pPr>
        <w:pStyle w:val="BodyText"/>
        <w:spacing w:line="283" w:lineRule="auto" w:before="151"/>
        <w:ind w:left="117" w:right="234"/>
      </w:pPr>
      <w:r>
        <w:rPr/>
        <w:t>No âmbito da UFMG, a Inovação vem sendo coordenada pela Coordenadoria de Transferência e Inovação Tecnológica (CTIT), que completará em 2027 trinta anos de atividade. Do ponto de vista legal, a CTIT é o Núcleo de Inovação Tecnológica (NIT) da UFMG, em consonância com o artigo 16 da Lei 10.973/04 (Lei de Inovação Tecnológica). A CTIT-UFMG foi estruturada em outubro de 1996 por meio do Projeto FINEP-TEC, como parte da política do Ministério da Ciência e Tecnologia para facilitar a cooperação tecnológica entre universidades</w:t>
      </w:r>
      <w:r>
        <w:rPr>
          <w:spacing w:val="19"/>
        </w:rPr>
        <w:t> </w:t>
      </w:r>
      <w:r>
        <w:rPr/>
        <w:t>e</w:t>
      </w:r>
      <w:r>
        <w:rPr>
          <w:spacing w:val="80"/>
        </w:rPr>
        <w:t> </w:t>
      </w:r>
      <w:r>
        <w:rPr/>
        <w:t>empresas, e foi formalmente instituída em junho de 1997. Em 2003, a Coordenadoria integrou a INOVA-UFMG (incubadora de empresas de base tecnológica) à sua estrutura. Através da CTIT, a UFMG atua em três eixos principais: proteção de ativos de propriedade intelectual gerados na Universidade, parcerias e licenciamento de tecnologias,</w:t>
      </w:r>
      <w:r>
        <w:rPr>
          <w:spacing w:val="21"/>
        </w:rPr>
        <w:t> </w:t>
      </w:r>
      <w:r>
        <w:rPr/>
        <w:t>e</w:t>
      </w:r>
      <w:r>
        <w:rPr>
          <w:spacing w:val="20"/>
        </w:rPr>
        <w:t> </w:t>
      </w:r>
      <w:r>
        <w:rPr/>
        <w:t>ações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incubação</w:t>
      </w:r>
      <w:r>
        <w:rPr>
          <w:spacing w:val="20"/>
        </w:rPr>
        <w:t> </w:t>
      </w:r>
      <w:r>
        <w:rPr/>
        <w:t>e</w:t>
      </w:r>
      <w:r>
        <w:rPr>
          <w:spacing w:val="20"/>
        </w:rPr>
        <w:t> </w:t>
      </w:r>
      <w:r>
        <w:rPr/>
        <w:t>empreendedorismo.</w:t>
      </w:r>
      <w:r>
        <w:rPr>
          <w:spacing w:val="21"/>
        </w:rPr>
        <w:t> </w:t>
      </w:r>
      <w:r>
        <w:rPr/>
        <w:t>Possui</w:t>
      </w:r>
      <w:r>
        <w:rPr>
          <w:spacing w:val="20"/>
        </w:rPr>
        <w:t> </w:t>
      </w:r>
      <w:r>
        <w:rPr/>
        <w:t>equipe</w:t>
      </w:r>
      <w:r>
        <w:rPr>
          <w:spacing w:val="20"/>
        </w:rPr>
        <w:t> </w:t>
      </w:r>
      <w:r>
        <w:rPr/>
        <w:t>multidisciplinar</w:t>
      </w:r>
      <w:r>
        <w:rPr>
          <w:spacing w:val="20"/>
        </w:rPr>
        <w:t> </w:t>
      </w:r>
      <w:r>
        <w:rPr/>
        <w:t>capacitada</w:t>
      </w:r>
      <w:r>
        <w:rPr>
          <w:spacing w:val="20"/>
        </w:rPr>
        <w:t> </w:t>
      </w:r>
      <w:r>
        <w:rPr/>
        <w:t>para</w:t>
      </w:r>
      <w:r>
        <w:rPr>
          <w:spacing w:val="20"/>
        </w:rPr>
        <w:t> </w:t>
      </w:r>
      <w:r>
        <w:rPr/>
        <w:t>lidar</w:t>
      </w:r>
      <w:r>
        <w:rPr>
          <w:spacing w:val="20"/>
        </w:rPr>
        <w:t> </w:t>
      </w:r>
      <w:r>
        <w:rPr/>
        <w:t>com</w:t>
      </w:r>
      <w:r>
        <w:rPr/>
        <w:t> as diversas questões que envolvem a gestão da Inovação.</w:t>
      </w:r>
    </w:p>
    <w:p>
      <w:pPr>
        <w:pStyle w:val="BodyText"/>
        <w:spacing w:line="283" w:lineRule="auto" w:before="150"/>
        <w:ind w:left="117" w:right="234"/>
      </w:pPr>
      <w:r>
        <w:rPr/>
        <w:t>Próxima de completar seu primeiro centenário, a UFMG é uma instituição consolidada em todos os fundamentos acadêmicos e áreas do conhecimento. Na pesquisa científica e tecnológica e na inovação, ostenta uma posição de liderança no Brasil e na América Latina, figurando entre as dez universidades latino-americanas mais bem classificadas</w:t>
      </w:r>
      <w:r>
        <w:rPr>
          <w:spacing w:val="18"/>
        </w:rPr>
        <w:t> </w:t>
      </w:r>
      <w:r>
        <w:rPr/>
        <w:t>no</w:t>
      </w:r>
      <w:r>
        <w:rPr>
          <w:spacing w:val="16"/>
        </w:rPr>
        <w:t> </w:t>
      </w:r>
      <w:r>
        <w:rPr/>
        <w:t>ranking</w:t>
      </w:r>
      <w:r>
        <w:rPr>
          <w:spacing w:val="16"/>
        </w:rPr>
        <w:t> </w:t>
      </w:r>
      <w:r>
        <w:rPr/>
        <w:t>regional</w:t>
      </w:r>
      <w:r>
        <w:rPr>
          <w:spacing w:val="16"/>
        </w:rPr>
        <w:t> </w:t>
      </w:r>
      <w:r>
        <w:rPr/>
        <w:t>da</w:t>
      </w:r>
      <w:r>
        <w:rPr>
          <w:spacing w:val="19"/>
        </w:rPr>
        <w:t> </w:t>
      </w:r>
      <w:r>
        <w:rPr>
          <w:rFonts w:ascii="Arial" w:hAnsi="Arial"/>
          <w:i/>
        </w:rPr>
        <w:t>Times</w:t>
      </w:r>
      <w:r>
        <w:rPr>
          <w:rFonts w:ascii="Arial" w:hAnsi="Arial"/>
          <w:i/>
          <w:spacing w:val="18"/>
        </w:rPr>
        <w:t> </w:t>
      </w:r>
      <w:r>
        <w:rPr>
          <w:rFonts w:ascii="Arial" w:hAnsi="Arial"/>
          <w:i/>
        </w:rPr>
        <w:t>Higher</w:t>
      </w:r>
      <w:r>
        <w:rPr>
          <w:rFonts w:ascii="Arial" w:hAnsi="Arial"/>
          <w:i/>
          <w:spacing w:val="16"/>
        </w:rPr>
        <w:t> </w:t>
      </w:r>
      <w:r>
        <w:rPr>
          <w:rFonts w:ascii="Arial" w:hAnsi="Arial"/>
          <w:i/>
        </w:rPr>
        <w:t>Education</w:t>
      </w:r>
      <w:r>
        <w:rPr>
          <w:rFonts w:ascii="Arial" w:hAnsi="Arial"/>
          <w:i/>
          <w:spacing w:val="19"/>
        </w:rPr>
        <w:t> </w:t>
      </w:r>
      <w:r>
        <w:rPr/>
        <w:t>de</w:t>
      </w:r>
      <w:r>
        <w:rPr>
          <w:spacing w:val="16"/>
        </w:rPr>
        <w:t> </w:t>
      </w:r>
      <w:r>
        <w:rPr/>
        <w:t>2024.</w:t>
      </w:r>
      <w:r>
        <w:rPr>
          <w:spacing w:val="18"/>
        </w:rPr>
        <w:t> </w:t>
      </w:r>
      <w:r>
        <w:rPr/>
        <w:t>A</w:t>
      </w:r>
      <w:r>
        <w:rPr>
          <w:spacing w:val="16"/>
        </w:rPr>
        <w:t> </w:t>
      </w:r>
      <w:r>
        <w:rPr/>
        <w:t>UFMG</w:t>
      </w:r>
      <w:r>
        <w:rPr>
          <w:spacing w:val="18"/>
        </w:rPr>
        <w:t> </w:t>
      </w:r>
      <w:r>
        <w:rPr/>
        <w:t>conta</w:t>
      </w:r>
      <w:r>
        <w:rPr>
          <w:spacing w:val="16"/>
        </w:rPr>
        <w:t> </w:t>
      </w:r>
      <w:r>
        <w:rPr/>
        <w:t>749</w:t>
      </w:r>
      <w:r>
        <w:rPr>
          <w:spacing w:val="16"/>
        </w:rPr>
        <w:t> </w:t>
      </w:r>
      <w:r>
        <w:rPr/>
        <w:t>bolsistas</w:t>
      </w:r>
      <w:r>
        <w:rPr>
          <w:spacing w:val="18"/>
        </w:rPr>
        <w:t> </w:t>
      </w:r>
      <w:r>
        <w:rPr/>
        <w:t>de</w:t>
      </w:r>
      <w:r>
        <w:rPr/>
        <w:t> Produtividade</w:t>
      </w:r>
      <w:r>
        <w:rPr>
          <w:spacing w:val="21"/>
        </w:rPr>
        <w:t> </w:t>
      </w:r>
      <w:r>
        <w:rPr/>
        <w:t>em</w:t>
      </w:r>
      <w:r>
        <w:rPr>
          <w:spacing w:val="21"/>
        </w:rPr>
        <w:t> </w:t>
      </w:r>
      <w:r>
        <w:rPr/>
        <w:t>Pesquisa</w:t>
      </w:r>
      <w:r>
        <w:rPr>
          <w:spacing w:val="21"/>
        </w:rPr>
        <w:t> </w:t>
      </w:r>
      <w:r>
        <w:rPr/>
        <w:t>e</w:t>
      </w:r>
      <w:r>
        <w:rPr>
          <w:spacing w:val="21"/>
        </w:rPr>
        <w:t> </w:t>
      </w:r>
      <w:r>
        <w:rPr/>
        <w:t>22</w:t>
      </w:r>
      <w:r>
        <w:rPr>
          <w:spacing w:val="21"/>
        </w:rPr>
        <w:t> </w:t>
      </w:r>
      <w:r>
        <w:rPr/>
        <w:t>bolsistas</w:t>
      </w:r>
      <w:r>
        <w:rPr>
          <w:spacing w:val="23"/>
        </w:rPr>
        <w:t> </w:t>
      </w:r>
      <w:r>
        <w:rPr/>
        <w:t>de</w:t>
      </w:r>
      <w:r>
        <w:rPr>
          <w:spacing w:val="21"/>
        </w:rPr>
        <w:t> </w:t>
      </w:r>
      <w:r>
        <w:rPr/>
        <w:t>Produtividade</w:t>
      </w:r>
      <w:r>
        <w:rPr>
          <w:spacing w:val="21"/>
        </w:rPr>
        <w:t> </w:t>
      </w:r>
      <w:r>
        <w:rPr/>
        <w:t>em</w:t>
      </w:r>
      <w:r>
        <w:rPr>
          <w:spacing w:val="21"/>
        </w:rPr>
        <w:t> </w:t>
      </w:r>
      <w:r>
        <w:rPr/>
        <w:t>Desenvolvimento</w:t>
      </w:r>
      <w:r>
        <w:rPr>
          <w:spacing w:val="21"/>
        </w:rPr>
        <w:t> </w:t>
      </w:r>
      <w:r>
        <w:rPr/>
        <w:t>Tecnológico</w:t>
      </w:r>
      <w:r>
        <w:rPr>
          <w:spacing w:val="21"/>
        </w:rPr>
        <w:t> </w:t>
      </w:r>
      <w:r>
        <w:rPr/>
        <w:t>e</w:t>
      </w:r>
      <w:r>
        <w:rPr>
          <w:spacing w:val="21"/>
        </w:rPr>
        <w:t> </w:t>
      </w:r>
      <w:r>
        <w:rPr/>
        <w:t>Extensão Inovadora.</w:t>
      </w:r>
      <w:r>
        <w:rPr>
          <w:spacing w:val="23"/>
        </w:rPr>
        <w:t> </w:t>
      </w:r>
      <w:r>
        <w:rPr/>
        <w:t>Sua</w:t>
      </w:r>
      <w:r>
        <w:rPr>
          <w:spacing w:val="22"/>
        </w:rPr>
        <w:t> </w:t>
      </w:r>
      <w:r>
        <w:rPr/>
        <w:t>infraestrutura</w:t>
      </w:r>
      <w:r>
        <w:rPr>
          <w:spacing w:val="22"/>
        </w:rPr>
        <w:t> </w:t>
      </w:r>
      <w:r>
        <w:rPr/>
        <w:t>institucional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pesquisa</w:t>
      </w:r>
      <w:r>
        <w:rPr>
          <w:spacing w:val="22"/>
        </w:rPr>
        <w:t> </w:t>
      </w:r>
      <w:r>
        <w:rPr/>
        <w:t>congrega</w:t>
      </w:r>
      <w:r>
        <w:rPr>
          <w:spacing w:val="22"/>
        </w:rPr>
        <w:t> </w:t>
      </w:r>
      <w:r>
        <w:rPr/>
        <w:t>15</w:t>
      </w:r>
      <w:r>
        <w:rPr>
          <w:spacing w:val="22"/>
        </w:rPr>
        <w:t> </w:t>
      </w:r>
      <w:r>
        <w:rPr/>
        <w:t>laboratórios</w:t>
      </w:r>
      <w:r>
        <w:rPr>
          <w:spacing w:val="23"/>
        </w:rPr>
        <w:t> </w:t>
      </w:r>
      <w:r>
        <w:rPr/>
        <w:t>multiusuário,</w:t>
      </w:r>
      <w:r>
        <w:rPr>
          <w:spacing w:val="23"/>
        </w:rPr>
        <w:t> </w:t>
      </w:r>
      <w:r>
        <w:rPr/>
        <w:t>9</w:t>
      </w:r>
      <w:r>
        <w:rPr>
          <w:spacing w:val="22"/>
        </w:rPr>
        <w:t> </w:t>
      </w:r>
      <w:r>
        <w:rPr/>
        <w:t>centros institucionais de pesquisa, 4 infraestruturas de apoio e 7 Centros Institucionais de Tecnologia e Inovação (CTs), aos quais se somam 715 laboratórios de grupos ou núcleos de pesquisa. A pesquisa desenvolvida pela comunidade UFMG</w:t>
      </w:r>
      <w:r>
        <w:rPr>
          <w:spacing w:val="18"/>
        </w:rPr>
        <w:t> </w:t>
      </w:r>
      <w:r>
        <w:rPr/>
        <w:t>resultou</w:t>
      </w:r>
      <w:r>
        <w:rPr>
          <w:spacing w:val="16"/>
        </w:rPr>
        <w:t> </w:t>
      </w:r>
      <w:r>
        <w:rPr/>
        <w:t>na</w:t>
      </w:r>
      <w:r>
        <w:rPr>
          <w:spacing w:val="16"/>
        </w:rPr>
        <w:t> </w:t>
      </w:r>
      <w:r>
        <w:rPr/>
        <w:t>publicação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41.668</w:t>
      </w:r>
      <w:r>
        <w:rPr>
          <w:spacing w:val="16"/>
        </w:rPr>
        <w:t> </w:t>
      </w:r>
      <w:r>
        <w:rPr/>
        <w:t>artigos</w:t>
      </w:r>
      <w:r>
        <w:rPr>
          <w:spacing w:val="18"/>
        </w:rPr>
        <w:t> </w:t>
      </w:r>
      <w:r>
        <w:rPr/>
        <w:t>indexados</w:t>
      </w:r>
      <w:r>
        <w:rPr>
          <w:spacing w:val="18"/>
        </w:rPr>
        <w:t> </w:t>
      </w:r>
      <w:r>
        <w:rPr/>
        <w:t>na</w:t>
      </w:r>
      <w:r>
        <w:rPr>
          <w:spacing w:val="16"/>
        </w:rPr>
        <w:t> </w:t>
      </w:r>
      <w:r>
        <w:rPr/>
        <w:t>base</w:t>
      </w:r>
      <w:r>
        <w:rPr>
          <w:spacing w:val="16"/>
        </w:rPr>
        <w:t> </w:t>
      </w:r>
      <w:r>
        <w:rPr/>
        <w:t>SCOPUS</w:t>
      </w:r>
      <w:r>
        <w:rPr>
          <w:spacing w:val="16"/>
        </w:rPr>
        <w:t> </w:t>
      </w:r>
      <w:r>
        <w:rPr/>
        <w:t>entre</w:t>
      </w:r>
      <w:r>
        <w:rPr>
          <w:spacing w:val="16"/>
        </w:rPr>
        <w:t> </w:t>
      </w:r>
      <w:r>
        <w:rPr/>
        <w:t>2013</w:t>
      </w:r>
      <w:r>
        <w:rPr>
          <w:spacing w:val="16"/>
        </w:rPr>
        <w:t> </w:t>
      </w:r>
      <w:r>
        <w:rPr/>
        <w:t>e</w:t>
      </w:r>
      <w:r>
        <w:rPr>
          <w:spacing w:val="16"/>
        </w:rPr>
        <w:t> </w:t>
      </w:r>
      <w:r>
        <w:rPr/>
        <w:t>2022,</w:t>
      </w:r>
      <w:r>
        <w:rPr>
          <w:spacing w:val="18"/>
        </w:rPr>
        <w:t> </w:t>
      </w:r>
      <w:r>
        <w:rPr/>
        <w:t>correspondes</w:t>
      </w:r>
      <w:r>
        <w:rPr>
          <w:spacing w:val="18"/>
        </w:rPr>
        <w:t> </w:t>
      </w:r>
      <w:r>
        <w:rPr/>
        <w:t>a 5% da produção brasileira indexada no mesmo período. Esses trabalhos receberam 721.496 citações (17,2 citações por artigo), conferindo à UFMG o </w:t>
      </w:r>
      <w:r>
        <w:rPr>
          <w:rFonts w:ascii="Arial" w:hAnsi="Arial"/>
          <w:i/>
        </w:rPr>
        <w:t>Field Weighted Citation Index </w:t>
      </w:r>
      <w:r>
        <w:rPr/>
        <w:t>(FCWI) de 1,18, portanto, 31% acima da média brasileira que é 0,90. Em seu histórico, a UFMG conta com 1.989 depósitos de pedido de patente, sendo 1.466 no Brasil e 523 no exterior; 219 registros de software; 85 registros de know-how; 43 registros de desenho industrial;</w:t>
      </w:r>
    </w:p>
    <w:p>
      <w:pPr>
        <w:pStyle w:val="BodyText"/>
        <w:spacing w:after="0" w:line="283" w:lineRule="auto"/>
        <w:sectPr>
          <w:footerReference w:type="default" r:id="rId5"/>
          <w:type w:val="continuous"/>
          <w:pgSz w:w="11900" w:h="16840"/>
          <w:pgMar w:header="0" w:footer="181" w:top="560" w:bottom="380" w:left="566" w:right="566"/>
          <w:pgNumType w:start="1"/>
        </w:sectPr>
      </w:pPr>
    </w:p>
    <w:p>
      <w:pPr>
        <w:pStyle w:val="BodyText"/>
        <w:spacing w:line="283" w:lineRule="auto" w:before="77"/>
        <w:ind w:left="117"/>
      </w:pPr>
      <w:r>
        <w:rPr/>
        <w:t>152 contratos de transferência de tecnologia e mais de 60 empresas graduadas na incubadora INOVA (dados do </w:t>
      </w:r>
      <w:hyperlink r:id="rId7">
        <w:r>
          <w:rPr>
            <w:color w:val="00007F"/>
            <w:u w:val="single" w:color="00007F"/>
          </w:rPr>
          <w:t>Relatório de Gestão 2024</w:t>
        </w:r>
      </w:hyperlink>
      <w:r>
        <w:rPr/>
        <w:t>).</w:t>
      </w:r>
    </w:p>
    <w:p>
      <w:pPr>
        <w:pStyle w:val="BodyText"/>
        <w:spacing w:line="283" w:lineRule="auto" w:before="148"/>
        <w:ind w:left="117" w:right="371"/>
      </w:pPr>
      <w:r>
        <w:rPr/>
        <w:t>O apoio institucional ao desenvolvimento da pesquisa na UFMG tem sido fundamental para a criação e fortalecimento de equipes e infraestruturas em todas as áreas do conhecimento, o que tem possibilitado à Universidade exercer seu papel de liderança em Minas Gerais e no Brasil como formadora de pessoas e produtora de conhecimento. As ações de fomento à pesquisa científica e tecnológica, para ser efetivas, precisam ter continuidade e previsibilidade. Assim, este projeto de desenvolvimento institucional (PDI) servirá de estímulo para que a comunidade universitária possa desenvolver ideias inovadoras, por vezes arriscadas, contando com uma infraestrutura multiusuário permanentemente ampliada e atualizada, além do apoio técnico e administrativo, da capacitação continuada e de linhas de fomento estratégicas mantidas pela instituição.</w:t>
      </w:r>
    </w:p>
    <w:p>
      <w:pPr>
        <w:pStyle w:val="BodyText"/>
        <w:spacing w:line="283" w:lineRule="auto" w:before="150"/>
        <w:ind w:left="117" w:right="371"/>
      </w:pPr>
      <w:r>
        <w:rPr/>
        <w:t>A Lei 13.243/2016, que atualiza a Lei 10.973/2004, estabelece os fundamentos para que Instituições de Ciência e Tecnologia públicas reinvistam receitas decorrentes do uso compartilhado de sua infraestrutura de pesquisa e do seu capital intelectual em projetos de pesquisa, desenvolvimento e inovação no custeio de objetivos institucionais da mesma natureza, incluindo a carteira de projetos institucionais e a gestão da política de inovação.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</w:pPr>
      <w:r>
        <w:rPr>
          <w:spacing w:val="-2"/>
        </w:rPr>
        <w:t>JUSTIFICATIVA</w:t>
      </w:r>
    </w:p>
    <w:p>
      <w:pPr>
        <w:pStyle w:val="BodyText"/>
        <w:spacing w:line="283" w:lineRule="auto" w:before="189"/>
        <w:ind w:left="117" w:right="279"/>
      </w:pPr>
      <w:r>
        <w:rPr/>
        <w:t>O </w:t>
      </w:r>
      <w:hyperlink r:id="rId8">
        <w:r>
          <w:rPr>
            <w:color w:val="00007F"/>
            <w:u w:val="single" w:color="00007F"/>
          </w:rPr>
          <w:t>Plano de Desenvolvimento Instituciona</w:t>
        </w:r>
      </w:hyperlink>
      <w:r>
        <w:rPr>
          <w:color w:val="00007F"/>
          <w:u w:val="single" w:color="00007F"/>
        </w:rPr>
        <w:t>l</w:t>
      </w:r>
      <w:r>
        <w:rPr>
          <w:color w:val="00007F"/>
          <w:spacing w:val="10"/>
        </w:rPr>
        <w:t> </w:t>
      </w:r>
      <w:r>
        <w:rPr/>
        <w:t>da UFMG para o período de 2024 a 2029 define entre os objetivos gerais</w:t>
      </w:r>
      <w:r>
        <w:rPr>
          <w:spacing w:val="80"/>
        </w:rPr>
        <w:t> </w:t>
      </w:r>
      <w:r>
        <w:rPr/>
        <w:t>o aprimoramento da atividade de pesquisa e especifica como metas, dentre outras, “estimular a pesquisa transdisciplinar,</w:t>
      </w:r>
      <w:r>
        <w:rPr>
          <w:spacing w:val="21"/>
        </w:rPr>
        <w:t> </w:t>
      </w:r>
      <w:r>
        <w:rPr/>
        <w:t>aumentando</w:t>
      </w:r>
      <w:r>
        <w:rPr>
          <w:spacing w:val="19"/>
        </w:rPr>
        <w:t> </w:t>
      </w:r>
      <w:r>
        <w:rPr/>
        <w:t>a</w:t>
      </w:r>
      <w:r>
        <w:rPr>
          <w:spacing w:val="19"/>
        </w:rPr>
        <w:t> </w:t>
      </w:r>
      <w:r>
        <w:rPr/>
        <w:t>rede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colaborações</w:t>
      </w:r>
      <w:r>
        <w:rPr>
          <w:spacing w:val="21"/>
        </w:rPr>
        <w:t> </w:t>
      </w:r>
      <w:r>
        <w:rPr/>
        <w:t>entre</w:t>
      </w:r>
      <w:r>
        <w:rPr>
          <w:spacing w:val="19"/>
        </w:rPr>
        <w:t> </w:t>
      </w:r>
      <w:r>
        <w:rPr/>
        <w:t>docentes</w:t>
      </w:r>
      <w:r>
        <w:rPr>
          <w:spacing w:val="21"/>
        </w:rPr>
        <w:t> </w:t>
      </w:r>
      <w:r>
        <w:rPr/>
        <w:t>de</w:t>
      </w:r>
      <w:r>
        <w:rPr>
          <w:spacing w:val="19"/>
        </w:rPr>
        <w:t> </w:t>
      </w:r>
      <w:r>
        <w:rPr/>
        <w:t>diferentes</w:t>
      </w:r>
      <w:r>
        <w:rPr>
          <w:spacing w:val="21"/>
        </w:rPr>
        <w:t> </w:t>
      </w:r>
      <w:r>
        <w:rPr/>
        <w:t>áreas</w:t>
      </w:r>
      <w:r>
        <w:rPr>
          <w:spacing w:val="21"/>
        </w:rPr>
        <w:t> </w:t>
      </w:r>
      <w:r>
        <w:rPr/>
        <w:t>do</w:t>
      </w:r>
      <w:r>
        <w:rPr>
          <w:spacing w:val="19"/>
        </w:rPr>
        <w:t> </w:t>
      </w:r>
      <w:r>
        <w:rPr/>
        <w:t>conhecimento</w:t>
      </w:r>
      <w:r>
        <w:rPr>
          <w:spacing w:val="19"/>
        </w:rPr>
        <w:t> </w:t>
      </w:r>
      <w:r>
        <w:rPr/>
        <w:t>na própria Instituição” e “dar continuidade às ações da Política de Infraestruturas de Pesquisa da UFMG visando à instalação e ao aprimoramento das infraestruturas laboratoriais de elevada complexidade e padrões de excelência </w:t>
      </w:r>
      <w:r>
        <w:rPr>
          <w:spacing w:val="-2"/>
        </w:rPr>
        <w:t>[...]”.</w:t>
      </w:r>
    </w:p>
    <w:p>
      <w:pPr>
        <w:pStyle w:val="BodyText"/>
        <w:spacing w:line="283" w:lineRule="auto" w:before="149"/>
        <w:ind w:left="117" w:right="279"/>
      </w:pPr>
      <w:r>
        <w:rPr/>
        <w:t>Os investimentos externos captados pela UFMG e aqueles feitos pela própria instituição em sua infraestrutura e projetos de pesquisa científica e tecnológica e inovação têm resultado em uma sólida produção intelectual, que retorna os investimentos em benefício de toda a sociedade. O conhecimento gerado se traduz em melhores meios</w:t>
      </w:r>
      <w:r>
        <w:rPr>
          <w:spacing w:val="80"/>
        </w:rPr>
        <w:t> </w:t>
      </w:r>
      <w:r>
        <w:rPr/>
        <w:t>de diagnóstico e tratamento na saúde humana e animal, aprimoramento de métodos e processos industriais,</w:t>
      </w:r>
      <w:r>
        <w:rPr>
          <w:spacing w:val="80"/>
        </w:rPr>
        <w:t> </w:t>
      </w:r>
      <w:r>
        <w:rPr/>
        <w:t>avanços na agricultura sustentável e de alta produtividade, conhecimento e conservação do patrimônio ambiental, embasamento para melhoria de políticas públicas, avanços nos métodos de educação, dentre muitos outros. Ao mesmo tempo, as atividades de pesquisa e inovação também podem trazer receitas diretas para a universidade, na forma de licenciamentos, royalties e contrapartida financeira pelo uso da sua infraestrutura. Tais receitas devem ser reinvestidas nessa mesma missão institucional, nos termos da Lei 10.973/2004, retroalimentando o crescimento quantitativo e qualitativo da pesquisa realizada na UFMG.</w:t>
      </w:r>
    </w:p>
    <w:p>
      <w:pPr>
        <w:pStyle w:val="BodyText"/>
        <w:spacing w:line="283" w:lineRule="auto" w:before="151"/>
        <w:ind w:left="117" w:right="234"/>
        <w:rPr>
          <w:rFonts w:ascii="Arial" w:hAnsi="Arial"/>
          <w:b/>
        </w:rPr>
      </w:pPr>
      <w:r>
        <w:rPr/>
        <w:t>A PRPq alinha-se à política estratégica da UFMG ao propor o presente projeto, destinado a reinvestir na pesquisa institucional os recursos auferidos de contrapartida financeira pelo uso da sua infraestrutura de pesquisa e do seu capital intelectual, participação minoritária em </w:t>
      </w:r>
      <w:r>
        <w:rPr>
          <w:rFonts w:ascii="Arial" w:hAnsi="Arial"/>
          <w:i/>
        </w:rPr>
        <w:t>startups</w:t>
      </w:r>
      <w:r>
        <w:rPr/>
        <w:t>, contratos de transferência ou cessão remunerada de tecnologia, direitos de uso ou de exploração de criação protegida, prestação de serviços técnicos especializados e </w:t>
      </w:r>
      <w:hyperlink r:id="rId9">
        <w:r>
          <w:rPr/>
          <w:t>acordos de parcerias, sempre em consonância com a legislação vigente, em especial a </w:t>
        </w:r>
        <w:r>
          <w:rPr>
            <w:rFonts w:ascii="Arial" w:hAnsi="Arial"/>
            <w:b/>
            <w:color w:val="00007F"/>
            <w:u w:val="single" w:color="00007F"/>
          </w:rPr>
          <w:t>LEI Nº 13.243, DE 11 DE</w:t>
        </w:r>
        <w:r>
          <w:rPr>
            <w:rFonts w:ascii="Arial" w:hAnsi="Arial"/>
            <w:b/>
            <w:color w:val="00007F"/>
          </w:rPr>
          <w:t> </w:t>
        </w:r>
        <w:r>
          <w:rPr>
            <w:rFonts w:ascii="Arial" w:hAnsi="Arial"/>
            <w:b/>
            <w:color w:val="00007F"/>
            <w:u w:val="single" w:color="00007F"/>
          </w:rPr>
          <w:t>JANEIRO DE 2016.</w:t>
        </w:r>
      </w:hyperlink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8"/>
        <w:rPr>
          <w:rFonts w:ascii="Arial"/>
          <w:b/>
        </w:rPr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</w:pPr>
      <w:r>
        <w:rPr>
          <w:spacing w:val="-2"/>
        </w:rPr>
        <w:t>OBJETIVO</w:t>
      </w:r>
    </w:p>
    <w:p>
      <w:pPr>
        <w:pStyle w:val="BodyText"/>
        <w:spacing w:line="283" w:lineRule="auto" w:before="189"/>
        <w:ind w:left="117"/>
      </w:pPr>
      <w:r>
        <w:rPr/>
        <w:t>O objetivo deste PDI é incrementar a pesquisa científica e tecnológica na UFMG e apoiar a execução da política de inovação da UFMG para fortalecer e consolidar sua atuação como referência nacional e buscar ampliação do seu reconhecimento internacional em todas as áreas do conhecimento.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</w:pPr>
      <w:r>
        <w:rPr>
          <w:spacing w:val="-2"/>
        </w:rPr>
        <w:t>MÉTODOS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89" w:after="0"/>
        <w:ind w:left="117" w:right="769" w:firstLine="0"/>
        <w:jc w:val="left"/>
        <w:rPr>
          <w:sz w:val="20"/>
        </w:rPr>
      </w:pPr>
      <w:r>
        <w:rPr>
          <w:sz w:val="20"/>
        </w:rPr>
        <w:t>Editais internos para selecionar projetos de pesquisa, inovação, melhoria da infraestrutura institucional de pesquisa, publicações científicas, organização e participação em eventos.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48" w:after="0"/>
        <w:ind w:left="117" w:right="180" w:firstLine="0"/>
        <w:jc w:val="left"/>
        <w:rPr>
          <w:sz w:val="20"/>
        </w:rPr>
      </w:pPr>
      <w:r>
        <w:rPr>
          <w:sz w:val="20"/>
        </w:rPr>
        <w:t>Contratação de profissionais para auxílio na gestão dos projetos institucionais de pesquisa, das redes de</w:t>
      </w:r>
      <w:r>
        <w:rPr>
          <w:spacing w:val="40"/>
          <w:sz w:val="20"/>
        </w:rPr>
        <w:t> </w:t>
      </w:r>
      <w:r>
        <w:rPr>
          <w:sz w:val="20"/>
        </w:rPr>
        <w:t>pesquisa sediadas na UFMG, dos Centros Institucionais de Ciência e Tecnologia (CTs) e das unidades da Empresa Brasileira de Pesquisa e Inovação Industrial (EMBRAPII) pertencentes à UFMG. Um dos principais desafios</w:t>
      </w:r>
    </w:p>
    <w:p>
      <w:pPr>
        <w:pStyle w:val="ListParagraph"/>
        <w:spacing w:after="0" w:line="283" w:lineRule="auto"/>
        <w:jc w:val="left"/>
        <w:rPr>
          <w:sz w:val="20"/>
        </w:rPr>
        <w:sectPr>
          <w:pgSz w:w="11900" w:h="16840"/>
          <w:pgMar w:header="0" w:footer="181" w:top="520" w:bottom="380" w:left="566" w:right="566"/>
        </w:sectPr>
      </w:pPr>
    </w:p>
    <w:p>
      <w:pPr>
        <w:pStyle w:val="BodyText"/>
        <w:spacing w:line="283" w:lineRule="auto" w:before="77"/>
        <w:ind w:left="117" w:right="234"/>
      </w:pPr>
      <w:r>
        <w:rPr/>
        <w:t>atualmente existentes para o uso eficiente da força de trabalho na pesquisa da UFMG é o acúmulo de funções exercidas pelos pesquisadores que coordenam grandes projetos. Cada projeto exige um esforço de reunir informações técnicas, buscar fornecedores e comparar produtos e preços, reunir documentos para fundamentar propostas, preparar solicitações de compras, acompanhar processos de compras nacionais e importações, atualizar</w:t>
      </w:r>
      <w:r>
        <w:rPr>
          <w:spacing w:val="80"/>
        </w:rPr>
        <w:t> </w:t>
      </w:r>
      <w:r>
        <w:rPr/>
        <w:t>a contabilidade dos projetos, reunir dados para relatórios técnicos e prestações de contas, manter atualizadas licenças e registros, organizar eventos e reuniões científicas, dentre outras tarefas de complexidade intermediária. Essas tarefas não fazem parte da rotina administrativa da universidade, mas também não precisariam ser desempenhadas</w:t>
      </w:r>
      <w:r>
        <w:rPr>
          <w:spacing w:val="22"/>
        </w:rPr>
        <w:t> </w:t>
      </w:r>
      <w:r>
        <w:rPr/>
        <w:t>obrigatoriamente</w:t>
      </w:r>
      <w:r>
        <w:rPr>
          <w:spacing w:val="21"/>
        </w:rPr>
        <w:t> </w:t>
      </w:r>
      <w:r>
        <w:rPr/>
        <w:t>pelos</w:t>
      </w:r>
      <w:r>
        <w:rPr>
          <w:spacing w:val="22"/>
        </w:rPr>
        <w:t> </w:t>
      </w:r>
      <w:r>
        <w:rPr/>
        <w:t>pesquisadores.</w:t>
      </w:r>
      <w:r>
        <w:rPr>
          <w:spacing w:val="22"/>
        </w:rPr>
        <w:t> </w:t>
      </w:r>
      <w:r>
        <w:rPr/>
        <w:t>Com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contratação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gerentes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projetos,</w:t>
      </w:r>
      <w:r>
        <w:rPr>
          <w:spacing w:val="22"/>
        </w:rPr>
        <w:t> </w:t>
      </w:r>
      <w:r>
        <w:rPr/>
        <w:t>a</w:t>
      </w:r>
      <w:r>
        <w:rPr>
          <w:spacing w:val="21"/>
        </w:rPr>
        <w:t> </w:t>
      </w:r>
      <w:r>
        <w:rPr/>
        <w:t>PRPq poderia atender às demandas específicas dos grupos de pesquisa que centralizam grandes projetos institucionais, executando tarefas gerenciais únicas, não rotineiras, que são essenciais ao bom andamento dos projetos. A oferta desse</w:t>
      </w:r>
      <w:r>
        <w:rPr>
          <w:spacing w:val="15"/>
        </w:rPr>
        <w:t> </w:t>
      </w:r>
      <w:r>
        <w:rPr/>
        <w:t>recurso</w:t>
      </w:r>
      <w:r>
        <w:rPr>
          <w:spacing w:val="15"/>
        </w:rPr>
        <w:t> </w:t>
      </w:r>
      <w:r>
        <w:rPr/>
        <w:t>por</w:t>
      </w:r>
      <w:r>
        <w:rPr>
          <w:spacing w:val="15"/>
        </w:rPr>
        <w:t> </w:t>
      </w:r>
      <w:r>
        <w:rPr/>
        <w:t>parte</w:t>
      </w:r>
      <w:r>
        <w:rPr>
          <w:spacing w:val="15"/>
        </w:rPr>
        <w:t> </w:t>
      </w:r>
      <w:r>
        <w:rPr/>
        <w:t>da</w:t>
      </w:r>
      <w:r>
        <w:rPr>
          <w:spacing w:val="15"/>
        </w:rPr>
        <w:t> </w:t>
      </w:r>
      <w:r>
        <w:rPr/>
        <w:t>UFMG</w:t>
      </w:r>
      <w:r>
        <w:rPr>
          <w:spacing w:val="16"/>
        </w:rPr>
        <w:t> </w:t>
      </w:r>
      <w:r>
        <w:rPr/>
        <w:t>elevaria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eficiência</w:t>
      </w:r>
      <w:r>
        <w:rPr>
          <w:spacing w:val="15"/>
        </w:rPr>
        <w:t> </w:t>
      </w:r>
      <w:r>
        <w:rPr/>
        <w:t>dos</w:t>
      </w:r>
      <w:r>
        <w:rPr>
          <w:spacing w:val="16"/>
        </w:rPr>
        <w:t> </w:t>
      </w:r>
      <w:r>
        <w:rPr/>
        <w:t>seus</w:t>
      </w:r>
      <w:r>
        <w:rPr>
          <w:spacing w:val="16"/>
        </w:rPr>
        <w:t> </w:t>
      </w:r>
      <w:r>
        <w:rPr/>
        <w:t>grupos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pesquisa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um</w:t>
      </w:r>
      <w:r>
        <w:rPr>
          <w:spacing w:val="15"/>
        </w:rPr>
        <w:t> </w:t>
      </w:r>
      <w:r>
        <w:rPr/>
        <w:t>novo</w:t>
      </w:r>
      <w:r>
        <w:rPr>
          <w:spacing w:val="15"/>
        </w:rPr>
        <w:t> </w:t>
      </w:r>
      <w:r>
        <w:rPr/>
        <w:t>patamar,</w:t>
      </w:r>
      <w:r>
        <w:rPr/>
        <w:t> otimizando o tempo e o foco dos seus melhores pesquisadores.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51" w:after="0"/>
        <w:ind w:left="117" w:right="565" w:firstLine="0"/>
        <w:jc w:val="left"/>
        <w:rPr>
          <w:sz w:val="20"/>
        </w:rPr>
      </w:pPr>
      <w:r>
        <w:rPr>
          <w:sz w:val="20"/>
        </w:rPr>
        <w:t>Custeio de software especializado de ampla utilização pelos grupos de pesquisa e pelos programas de pós- graduação da UFMG.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48" w:after="0"/>
        <w:ind w:left="117" w:right="1334" w:firstLine="0"/>
        <w:jc w:val="left"/>
        <w:rPr>
          <w:sz w:val="20"/>
        </w:rPr>
      </w:pPr>
      <w:r>
        <w:rPr>
          <w:sz w:val="20"/>
        </w:rPr>
        <w:t>Custeio do registro e manutenção dos direitos de propriedade intelectual resultantes de tecnologias desenvolvidas pela UFMG.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48" w:after="0"/>
        <w:ind w:left="117" w:right="304" w:firstLine="0"/>
        <w:jc w:val="left"/>
        <w:rPr>
          <w:sz w:val="20"/>
        </w:rPr>
      </w:pPr>
      <w:r>
        <w:rPr>
          <w:sz w:val="20"/>
        </w:rPr>
        <w:t>Apoio a atividades que incentivem a criação de empreendimentos de base tecnológica a partir da UFMG e que impulsionem a transferência de tecnologia.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40" w:lineRule="auto" w:before="148" w:after="0"/>
        <w:ind w:left="453" w:right="0" w:hanging="336"/>
        <w:jc w:val="left"/>
        <w:rPr>
          <w:sz w:val="20"/>
        </w:rPr>
      </w:pPr>
      <w:r>
        <w:rPr>
          <w:sz w:val="20"/>
        </w:rPr>
        <w:t>Apoiar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2"/>
          <w:sz w:val="20"/>
        </w:rPr>
        <w:t> </w:t>
      </w:r>
      <w:r>
        <w:rPr>
          <w:sz w:val="20"/>
        </w:rPr>
        <w:t>execução</w:t>
      </w:r>
      <w:r>
        <w:rPr>
          <w:spacing w:val="1"/>
          <w:sz w:val="20"/>
        </w:rPr>
        <w:t> </w:t>
      </w:r>
      <w:r>
        <w:rPr>
          <w:sz w:val="20"/>
        </w:rPr>
        <w:t>das</w:t>
      </w:r>
      <w:r>
        <w:rPr>
          <w:spacing w:val="3"/>
          <w:sz w:val="20"/>
        </w:rPr>
        <w:t> </w:t>
      </w:r>
      <w:r>
        <w:rPr>
          <w:sz w:val="20"/>
        </w:rPr>
        <w:t>atividades</w:t>
      </w:r>
      <w:r>
        <w:rPr>
          <w:spacing w:val="3"/>
          <w:sz w:val="20"/>
        </w:rPr>
        <w:t> </w:t>
      </w:r>
      <w:r>
        <w:rPr>
          <w:sz w:val="20"/>
        </w:rPr>
        <w:t>da</w:t>
      </w:r>
      <w:r>
        <w:rPr>
          <w:spacing w:val="1"/>
          <w:sz w:val="20"/>
        </w:rPr>
        <w:t> </w:t>
      </w:r>
      <w:r>
        <w:rPr>
          <w:sz w:val="20"/>
        </w:rPr>
        <w:t>CTIT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UFMG.</w:t>
      </w:r>
    </w:p>
    <w:p>
      <w:pPr>
        <w:pStyle w:val="BodyText"/>
      </w:pPr>
    </w:p>
    <w:p>
      <w:pPr>
        <w:pStyle w:val="BodyText"/>
        <w:spacing w:before="147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1" w:after="0"/>
        <w:ind w:left="342" w:right="0" w:hanging="225"/>
        <w:jc w:val="left"/>
      </w:pPr>
      <w:r>
        <w:rPr/>
        <w:t>RESULTADOS</w:t>
      </w:r>
      <w:r>
        <w:rPr>
          <w:spacing w:val="4"/>
        </w:rPr>
        <w:t> </w:t>
      </w:r>
      <w:r>
        <w:rPr>
          <w:spacing w:val="-2"/>
        </w:rPr>
        <w:t>ESPERADOS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40" w:lineRule="auto" w:before="189" w:after="0"/>
        <w:ind w:left="453" w:right="0" w:hanging="336"/>
        <w:jc w:val="left"/>
        <w:rPr>
          <w:sz w:val="20"/>
        </w:rPr>
      </w:pPr>
      <w:r>
        <w:rPr>
          <w:sz w:val="20"/>
        </w:rPr>
        <w:t>Melhorias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Qualitativas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83" w:lineRule="auto" w:before="188" w:after="0"/>
        <w:ind w:left="117" w:right="1074" w:firstLine="0"/>
        <w:jc w:val="left"/>
        <w:rPr>
          <w:sz w:val="20"/>
        </w:rPr>
      </w:pPr>
      <w:r>
        <w:rPr>
          <w:sz w:val="20"/>
        </w:rPr>
        <w:t>Atualização mais rápida e manutenção mais efetiva dos equipamentos de pesquisa disponíveis para uso compartilhado na UFMG.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83" w:lineRule="auto" w:before="148" w:after="0"/>
        <w:ind w:left="117" w:right="1051" w:firstLine="0"/>
        <w:jc w:val="left"/>
        <w:rPr>
          <w:sz w:val="20"/>
        </w:rPr>
      </w:pPr>
      <w:r>
        <w:rPr>
          <w:sz w:val="20"/>
        </w:rPr>
        <w:t>Incorporação de instrumentos e técnicas laboratoriais de última geração, com a consequente melhora da qualidade da pesquisa realizada na instituição.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48" w:after="0"/>
        <w:ind w:left="240" w:right="0" w:hanging="123"/>
        <w:jc w:val="left"/>
        <w:rPr>
          <w:sz w:val="20"/>
        </w:rPr>
      </w:pPr>
      <w:r>
        <w:rPr>
          <w:sz w:val="20"/>
        </w:rPr>
        <w:t>Atração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2"/>
          <w:sz w:val="20"/>
        </w:rPr>
        <w:t> </w:t>
      </w:r>
      <w:r>
        <w:rPr>
          <w:sz w:val="20"/>
        </w:rPr>
        <w:t>fixação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pesquisadores</w:t>
      </w:r>
      <w:r>
        <w:rPr>
          <w:spacing w:val="2"/>
          <w:sz w:val="20"/>
        </w:rPr>
        <w:t> </w:t>
      </w:r>
      <w:r>
        <w:rPr>
          <w:sz w:val="20"/>
        </w:rPr>
        <w:t>altamente</w:t>
      </w:r>
      <w:r>
        <w:rPr>
          <w:spacing w:val="2"/>
          <w:sz w:val="20"/>
        </w:rPr>
        <w:t> </w:t>
      </w:r>
      <w:r>
        <w:rPr>
          <w:sz w:val="20"/>
        </w:rPr>
        <w:t>produtivos</w:t>
      </w:r>
      <w:r>
        <w:rPr>
          <w:spacing w:val="2"/>
          <w:sz w:val="20"/>
        </w:rPr>
        <w:t> </w:t>
      </w:r>
      <w:r>
        <w:rPr>
          <w:sz w:val="20"/>
        </w:rPr>
        <w:t>em</w:t>
      </w:r>
      <w:r>
        <w:rPr>
          <w:spacing w:val="2"/>
          <w:sz w:val="20"/>
        </w:rPr>
        <w:t> </w:t>
      </w:r>
      <w:r>
        <w:rPr>
          <w:sz w:val="20"/>
        </w:rPr>
        <w:t>início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carreira.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9" w:after="0"/>
        <w:ind w:left="240" w:right="0" w:hanging="123"/>
        <w:jc w:val="left"/>
        <w:rPr>
          <w:sz w:val="20"/>
        </w:rPr>
      </w:pPr>
      <w:r>
        <w:rPr>
          <w:sz w:val="20"/>
        </w:rPr>
        <w:t>Ganho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eficiência</w:t>
      </w:r>
      <w:r>
        <w:rPr>
          <w:spacing w:val="1"/>
          <w:sz w:val="20"/>
        </w:rPr>
        <w:t> </w:t>
      </w:r>
      <w:r>
        <w:rPr>
          <w:sz w:val="20"/>
        </w:rPr>
        <w:t>na</w:t>
      </w:r>
      <w:r>
        <w:rPr>
          <w:spacing w:val="1"/>
          <w:sz w:val="20"/>
        </w:rPr>
        <w:t> </w:t>
      </w:r>
      <w:r>
        <w:rPr>
          <w:sz w:val="20"/>
        </w:rPr>
        <w:t>gestão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projetos</w:t>
      </w:r>
      <w:r>
        <w:rPr>
          <w:spacing w:val="2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redes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pesquisa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83" w:lineRule="auto" w:before="189" w:after="0"/>
        <w:ind w:left="117" w:right="1120" w:firstLine="0"/>
        <w:jc w:val="left"/>
        <w:rPr>
          <w:sz w:val="20"/>
        </w:rPr>
      </w:pPr>
      <w:r>
        <w:rPr>
          <w:sz w:val="20"/>
        </w:rPr>
        <w:t>Avanços na formação de ambientes promotores de inovação e na criação de empreendimentos de base tecnológica e empresas </w:t>
      </w:r>
      <w:r>
        <w:rPr>
          <w:rFonts w:ascii="Arial" w:hAnsi="Arial"/>
          <w:i/>
          <w:sz w:val="20"/>
        </w:rPr>
        <w:t>spin-off</w:t>
      </w:r>
      <w:r>
        <w:rPr>
          <w:sz w:val="20"/>
        </w:rPr>
        <w:t>.</w: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40" w:lineRule="auto" w:before="1" w:after="0"/>
        <w:ind w:left="453" w:right="0" w:hanging="336"/>
        <w:jc w:val="left"/>
        <w:rPr>
          <w:sz w:val="20"/>
        </w:rPr>
      </w:pPr>
      <w:r>
        <w:rPr>
          <w:sz w:val="20"/>
        </w:rPr>
        <w:t>Melhorias</w:t>
      </w:r>
      <w:r>
        <w:rPr>
          <w:spacing w:val="1"/>
          <w:sz w:val="20"/>
        </w:rPr>
        <w:t> </w:t>
      </w:r>
      <w:r>
        <w:rPr>
          <w:sz w:val="20"/>
        </w:rPr>
        <w:t>Quantitativas</w:t>
      </w:r>
      <w:r>
        <w:rPr>
          <w:spacing w:val="2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Produtos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Esperados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9" w:after="0"/>
        <w:ind w:left="240" w:right="0" w:hanging="123"/>
        <w:jc w:val="left"/>
        <w:rPr>
          <w:sz w:val="20"/>
        </w:rPr>
      </w:pPr>
      <w:r>
        <w:rPr>
          <w:sz w:val="20"/>
        </w:rPr>
        <w:t>Aumento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15%</w:t>
      </w:r>
      <w:r>
        <w:rPr>
          <w:spacing w:val="2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publicações</w:t>
      </w:r>
      <w:r>
        <w:rPr>
          <w:spacing w:val="3"/>
          <w:sz w:val="20"/>
        </w:rPr>
        <w:t> </w:t>
      </w:r>
      <w:r>
        <w:rPr>
          <w:sz w:val="20"/>
        </w:rPr>
        <w:t>em</w:t>
      </w:r>
      <w:r>
        <w:rPr>
          <w:spacing w:val="1"/>
          <w:sz w:val="20"/>
        </w:rPr>
        <w:t> </w:t>
      </w:r>
      <w:r>
        <w:rPr>
          <w:sz w:val="20"/>
        </w:rPr>
        <w:t>periódicos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impacto</w:t>
      </w:r>
      <w:r>
        <w:rPr>
          <w:spacing w:val="2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(primeiro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quartil).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8" w:after="0"/>
        <w:ind w:left="240" w:right="0" w:hanging="123"/>
        <w:jc w:val="left"/>
        <w:rPr>
          <w:sz w:val="20"/>
        </w:rPr>
      </w:pPr>
      <w:r>
        <w:rPr>
          <w:sz w:val="20"/>
        </w:rPr>
        <w:t>Aumento</w:t>
      </w:r>
      <w:r>
        <w:rPr>
          <w:spacing w:val="1"/>
          <w:sz w:val="20"/>
        </w:rPr>
        <w:t> </w:t>
      </w:r>
      <w:r>
        <w:rPr>
          <w:sz w:val="20"/>
        </w:rPr>
        <w:t>do</w:t>
      </w:r>
      <w:r>
        <w:rPr>
          <w:spacing w:val="1"/>
          <w:sz w:val="20"/>
        </w:rPr>
        <w:t> </w:t>
      </w:r>
      <w:r>
        <w:rPr>
          <w:sz w:val="20"/>
        </w:rPr>
        <w:t>percentual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colaborações</w:t>
      </w:r>
      <w:r>
        <w:rPr>
          <w:spacing w:val="2"/>
          <w:sz w:val="20"/>
        </w:rPr>
        <w:t> </w:t>
      </w:r>
      <w:r>
        <w:rPr>
          <w:sz w:val="20"/>
        </w:rPr>
        <w:t>internacionais</w:t>
      </w:r>
      <w:r>
        <w:rPr>
          <w:spacing w:val="3"/>
          <w:sz w:val="20"/>
        </w:rPr>
        <w:t> </w:t>
      </w:r>
      <w:r>
        <w:rPr>
          <w:sz w:val="20"/>
        </w:rPr>
        <w:t>nos</w:t>
      </w:r>
      <w:r>
        <w:rPr>
          <w:spacing w:val="2"/>
          <w:sz w:val="20"/>
        </w:rPr>
        <w:t> </w:t>
      </w:r>
      <w:r>
        <w:rPr>
          <w:sz w:val="20"/>
        </w:rPr>
        <w:t>projetos</w:t>
      </w:r>
      <w:r>
        <w:rPr>
          <w:spacing w:val="3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produtos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pesquisa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34%</w:t>
      </w:r>
      <w:r>
        <w:rPr>
          <w:spacing w:val="2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50%.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9" w:after="0"/>
        <w:ind w:left="240" w:right="0" w:hanging="123"/>
        <w:jc w:val="left"/>
        <w:rPr>
          <w:sz w:val="20"/>
        </w:rPr>
      </w:pPr>
      <w:r>
        <w:rPr>
          <w:sz w:val="20"/>
        </w:rPr>
        <w:t>Aumento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10%</w:t>
      </w:r>
      <w:r>
        <w:rPr>
          <w:spacing w:val="2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pedidos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patentes.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9" w:after="0"/>
        <w:ind w:left="240" w:right="0" w:hanging="123"/>
        <w:jc w:val="left"/>
        <w:rPr>
          <w:sz w:val="20"/>
        </w:rPr>
      </w:pPr>
      <w:r>
        <w:rPr>
          <w:sz w:val="20"/>
        </w:rPr>
        <w:t>Aumento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10%</w:t>
      </w:r>
      <w:r>
        <w:rPr>
          <w:spacing w:val="2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contratos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transferência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tecnologia.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40" w:lineRule="auto" w:before="189" w:after="0"/>
        <w:ind w:left="240" w:right="0" w:hanging="123"/>
        <w:jc w:val="left"/>
        <w:rPr>
          <w:sz w:val="20"/>
        </w:rPr>
      </w:pPr>
      <w:r>
        <w:rPr>
          <w:sz w:val="20"/>
        </w:rPr>
        <w:t>Aumento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30%</w:t>
      </w:r>
      <w:r>
        <w:rPr>
          <w:spacing w:val="1"/>
          <w:sz w:val="20"/>
        </w:rPr>
        <w:t> </w:t>
      </w:r>
      <w:r>
        <w:rPr>
          <w:sz w:val="20"/>
        </w:rPr>
        <w:t>na</w:t>
      </w:r>
      <w:r>
        <w:rPr>
          <w:spacing w:val="2"/>
          <w:sz w:val="20"/>
        </w:rPr>
        <w:t> </w:t>
      </w:r>
      <w:r>
        <w:rPr>
          <w:sz w:val="20"/>
        </w:rPr>
        <w:t>captação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financiamento</w:t>
      </w:r>
      <w:r>
        <w:rPr>
          <w:spacing w:val="2"/>
          <w:sz w:val="20"/>
        </w:rPr>
        <w:t> </w:t>
      </w:r>
      <w:r>
        <w:rPr>
          <w:sz w:val="20"/>
        </w:rPr>
        <w:t>externo</w:t>
      </w:r>
      <w:r>
        <w:rPr>
          <w:spacing w:val="2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projetos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pesquisa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2"/>
          <w:sz w:val="20"/>
        </w:rPr>
        <w:t> </w:t>
      </w:r>
      <w:r>
        <w:rPr>
          <w:sz w:val="20"/>
        </w:rPr>
        <w:t>inovação</w:t>
      </w:r>
      <w:r>
        <w:rPr>
          <w:spacing w:val="1"/>
          <w:sz w:val="20"/>
        </w:rPr>
        <w:t> </w:t>
      </w:r>
      <w:r>
        <w:rPr>
          <w:sz w:val="20"/>
        </w:rPr>
        <w:t>da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UFMG.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83" w:lineRule="auto" w:before="189" w:after="0"/>
        <w:ind w:left="117" w:right="1537" w:firstLine="0"/>
        <w:jc w:val="left"/>
        <w:rPr>
          <w:sz w:val="20"/>
        </w:rPr>
      </w:pPr>
      <w:r>
        <w:rPr>
          <w:sz w:val="20"/>
        </w:rPr>
        <w:t>Aumento de 10% no número de docentes da UFMG com bolsa de produtividade em Pesquisa e em Desenvolvimento Tecnológico e Extensão Inovadora.</w:t>
      </w:r>
    </w:p>
    <w:p>
      <w:pPr>
        <w:pStyle w:val="ListParagraph"/>
        <w:numPr>
          <w:ilvl w:val="2"/>
          <w:numId w:val="1"/>
        </w:numPr>
        <w:tabs>
          <w:tab w:pos="240" w:val="left" w:leader="none"/>
        </w:tabs>
        <w:spacing w:line="283" w:lineRule="auto" w:before="148" w:after="0"/>
        <w:ind w:left="117" w:right="850" w:firstLine="0"/>
        <w:jc w:val="left"/>
        <w:rPr>
          <w:sz w:val="20"/>
        </w:rPr>
      </w:pPr>
      <w:r>
        <w:rPr>
          <w:sz w:val="20"/>
        </w:rPr>
        <w:t>Melhora dos indicadores de internacionalização e das posições da UFMG em classificações internacionais, passando a figurar entre as 500 melhores do mundo.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ListParagraph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METAS,</w:t>
      </w:r>
      <w:r>
        <w:rPr>
          <w:rFonts w:ascii="Arial"/>
          <w:b/>
          <w:spacing w:val="4"/>
          <w:sz w:val="20"/>
        </w:rPr>
        <w:t> </w:t>
      </w:r>
      <w:r>
        <w:rPr>
          <w:rFonts w:ascii="Arial"/>
          <w:b/>
          <w:sz w:val="20"/>
        </w:rPr>
        <w:t>CRONOGRAMA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pacing w:val="-2"/>
          <w:sz w:val="20"/>
        </w:rPr>
        <w:t>INDICADORES</w:t>
      </w:r>
    </w:p>
    <w:p>
      <w:pPr>
        <w:pStyle w:val="ListParagraph"/>
        <w:spacing w:after="0" w:line="240" w:lineRule="auto"/>
        <w:jc w:val="left"/>
        <w:rPr>
          <w:rFonts w:ascii="Arial"/>
          <w:b/>
          <w:sz w:val="20"/>
        </w:rPr>
        <w:sectPr>
          <w:pgSz w:w="11900" w:h="16840"/>
          <w:pgMar w:header="0" w:footer="181" w:top="520" w:bottom="380" w:left="566" w:right="566"/>
        </w:sectPr>
      </w:pPr>
    </w:p>
    <w:p>
      <w:pPr>
        <w:spacing w:before="77"/>
        <w:ind w:left="11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4"/>
          <w:sz w:val="20"/>
        </w:rPr>
        <w:t>Meta</w:t>
      </w:r>
    </w:p>
    <w:p>
      <w:pPr>
        <w:pStyle w:val="BodyText"/>
        <w:spacing w:after="1"/>
        <w:rPr>
          <w:rFonts w:ascii="Arial"/>
          <w:b/>
          <w:sz w:val="14"/>
        </w:rPr>
      </w:pPr>
    </w:p>
    <w:tbl>
      <w:tblPr>
        <w:tblW w:w="0" w:type="auto"/>
        <w:jc w:val="left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725"/>
        <w:gridCol w:w="1484"/>
        <w:gridCol w:w="1880"/>
        <w:gridCol w:w="1755"/>
        <w:gridCol w:w="1483"/>
        <w:gridCol w:w="1653"/>
      </w:tblGrid>
      <w:tr>
        <w:trPr>
          <w:trHeight w:val="845" w:hRule="atLeast"/>
        </w:trPr>
        <w:tc>
          <w:tcPr>
            <w:tcW w:w="1642" w:type="dxa"/>
          </w:tcPr>
          <w:p>
            <w:pPr>
              <w:pStyle w:val="TableParagraph"/>
              <w:spacing w:before="48"/>
              <w:ind w:lef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Meta</w:t>
            </w:r>
          </w:p>
        </w:tc>
        <w:tc>
          <w:tcPr>
            <w:tcW w:w="725" w:type="dxa"/>
          </w:tcPr>
          <w:p>
            <w:pPr>
              <w:pStyle w:val="TableParagraph"/>
              <w:spacing w:before="48"/>
              <w:ind w:lef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Prazo</w:t>
            </w:r>
          </w:p>
        </w:tc>
        <w:tc>
          <w:tcPr>
            <w:tcW w:w="1484" w:type="dxa"/>
          </w:tcPr>
          <w:p>
            <w:pPr>
              <w:pStyle w:val="TableParagraph"/>
              <w:spacing w:before="48"/>
              <w:ind w:left="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Indicadores</w:t>
            </w:r>
          </w:p>
        </w:tc>
        <w:tc>
          <w:tcPr>
            <w:tcW w:w="1880" w:type="dxa"/>
          </w:tcPr>
          <w:p>
            <w:pPr>
              <w:pStyle w:val="TableParagraph"/>
              <w:spacing w:before="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Despesas</w:t>
            </w:r>
          </w:p>
        </w:tc>
        <w:tc>
          <w:tcPr>
            <w:tcW w:w="1755" w:type="dxa"/>
          </w:tcPr>
          <w:p>
            <w:pPr>
              <w:pStyle w:val="TableParagraph"/>
              <w:spacing w:before="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Atividades</w:t>
            </w:r>
          </w:p>
        </w:tc>
        <w:tc>
          <w:tcPr>
            <w:tcW w:w="1483" w:type="dxa"/>
          </w:tcPr>
          <w:p>
            <w:pPr>
              <w:pStyle w:val="TableParagraph"/>
              <w:spacing w:line="283" w:lineRule="auto" w:before="48"/>
              <w:ind w:righ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Resultados Esperados</w:t>
            </w:r>
          </w:p>
        </w:tc>
        <w:tc>
          <w:tcPr>
            <w:tcW w:w="1653" w:type="dxa"/>
          </w:tcPr>
          <w:p>
            <w:pPr>
              <w:pStyle w:val="TableParagraph"/>
              <w:spacing w:before="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Equipe</w:t>
            </w:r>
          </w:p>
        </w:tc>
      </w:tr>
      <w:tr>
        <w:trPr>
          <w:trHeight w:val="3811" w:hRule="atLeast"/>
        </w:trPr>
        <w:tc>
          <w:tcPr>
            <w:tcW w:w="1642" w:type="dxa"/>
          </w:tcPr>
          <w:p>
            <w:pPr>
              <w:pStyle w:val="TableParagraph"/>
              <w:spacing w:line="283" w:lineRule="auto"/>
              <w:ind w:left="3" w:right="104"/>
              <w:rPr>
                <w:sz w:val="20"/>
              </w:rPr>
            </w:pPr>
            <w:r>
              <w:rPr>
                <w:sz w:val="20"/>
              </w:rPr>
              <w:t>Estimular o </w:t>
            </w:r>
            <w:r>
              <w:rPr>
                <w:spacing w:val="-2"/>
                <w:sz w:val="20"/>
              </w:rPr>
              <w:t>aumento </w:t>
            </w:r>
            <w:r>
              <w:rPr>
                <w:sz w:val="20"/>
              </w:rPr>
              <w:t>quantitativo e qualitativo da </w:t>
            </w:r>
            <w:r>
              <w:rPr>
                <w:spacing w:val="-2"/>
                <w:sz w:val="20"/>
              </w:rPr>
              <w:t>produção </w:t>
            </w:r>
            <w:r>
              <w:rPr>
                <w:sz w:val="20"/>
              </w:rPr>
              <w:t>científica da UFMG em veículos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alto impacto e </w:t>
            </w:r>
            <w:r>
              <w:rPr>
                <w:spacing w:val="-2"/>
                <w:sz w:val="20"/>
              </w:rPr>
              <w:t>visibilidade</w:t>
            </w:r>
          </w:p>
        </w:tc>
        <w:tc>
          <w:tcPr>
            <w:tcW w:w="725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  <w:p>
            <w:pPr>
              <w:pStyle w:val="TableParagraph"/>
              <w:spacing w:before="42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1484" w:type="dxa"/>
          </w:tcPr>
          <w:p>
            <w:pPr>
              <w:pStyle w:val="TableParagraph"/>
              <w:spacing w:line="283" w:lineRule="auto"/>
              <w:ind w:left="2" w:right="129"/>
              <w:rPr>
                <w:sz w:val="20"/>
              </w:rPr>
            </w:pPr>
            <w:r>
              <w:rPr>
                <w:spacing w:val="-2"/>
                <w:sz w:val="20"/>
              </w:rPr>
              <w:t>Artigos </w:t>
            </w:r>
            <w:r>
              <w:rPr>
                <w:sz w:val="20"/>
              </w:rPr>
              <w:t>publicados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 periódicos de </w:t>
            </w:r>
            <w:r>
              <w:rPr>
                <w:spacing w:val="-2"/>
                <w:sz w:val="20"/>
              </w:rPr>
              <w:t>impacto superior (fontes: </w:t>
            </w:r>
            <w:r>
              <w:rPr>
                <w:sz w:val="20"/>
              </w:rPr>
              <w:t>Scopus, JCR, </w:t>
            </w:r>
            <w:r>
              <w:rPr>
                <w:spacing w:val="-2"/>
                <w:sz w:val="20"/>
              </w:rPr>
              <w:t>Scival)</w:t>
            </w:r>
          </w:p>
        </w:tc>
        <w:tc>
          <w:tcPr>
            <w:tcW w:w="1880" w:type="dxa"/>
          </w:tcPr>
          <w:p>
            <w:pPr>
              <w:pStyle w:val="TableParagraph"/>
              <w:spacing w:line="283" w:lineRule="auto"/>
              <w:ind w:right="161"/>
              <w:rPr>
                <w:sz w:val="20"/>
              </w:rPr>
            </w:pPr>
            <w:r>
              <w:rPr>
                <w:sz w:val="20"/>
              </w:rPr>
              <w:t>Aquisição de Insumos para </w:t>
            </w:r>
            <w:r>
              <w:rPr>
                <w:spacing w:val="-2"/>
                <w:sz w:val="20"/>
              </w:rPr>
              <w:t>pesquisa devidamente </w:t>
            </w:r>
            <w:r>
              <w:rPr>
                <w:sz w:val="20"/>
              </w:rPr>
              <w:t>discriminados e justificados nos </w:t>
            </w:r>
            <w:r>
              <w:rPr>
                <w:spacing w:val="-2"/>
                <w:sz w:val="20"/>
              </w:rPr>
              <w:t>respectivos </w:t>
            </w:r>
            <w:r>
              <w:rPr>
                <w:sz w:val="20"/>
              </w:rPr>
              <w:t>projetos.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Aquisição de equipamentos </w:t>
            </w:r>
            <w:r>
              <w:rPr>
                <w:spacing w:val="-4"/>
                <w:sz w:val="20"/>
              </w:rPr>
              <w:t>para</w:t>
            </w:r>
            <w:r>
              <w:rPr>
                <w:spacing w:val="80"/>
                <w:sz w:val="20"/>
              </w:rPr>
              <w:t> </w:t>
            </w:r>
            <w:r>
              <w:rPr>
                <w:spacing w:val="-2"/>
                <w:sz w:val="20"/>
              </w:rPr>
              <w:t>infraestruturas </w:t>
            </w:r>
            <w:r>
              <w:rPr>
                <w:sz w:val="20"/>
              </w:rPr>
              <w:t>institucionais de </w:t>
            </w:r>
            <w:r>
              <w:rPr>
                <w:spacing w:val="-2"/>
                <w:sz w:val="20"/>
              </w:rPr>
              <w:t>pesquisa</w:t>
            </w:r>
          </w:p>
        </w:tc>
        <w:tc>
          <w:tcPr>
            <w:tcW w:w="1755" w:type="dxa"/>
          </w:tcPr>
          <w:p>
            <w:pPr>
              <w:pStyle w:val="TableParagraph"/>
              <w:spacing w:line="283" w:lineRule="auto"/>
              <w:ind w:right="197"/>
              <w:rPr>
                <w:sz w:val="20"/>
              </w:rPr>
            </w:pPr>
            <w:r>
              <w:rPr>
                <w:sz w:val="20"/>
              </w:rPr>
              <w:t>Editais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internos de fomento</w:t>
            </w:r>
          </w:p>
        </w:tc>
        <w:tc>
          <w:tcPr>
            <w:tcW w:w="1483" w:type="dxa"/>
          </w:tcPr>
          <w:p>
            <w:pPr>
              <w:pStyle w:val="TableParagraph"/>
              <w:spacing w:line="283" w:lineRule="auto"/>
              <w:ind w:right="108"/>
              <w:rPr>
                <w:sz w:val="20"/>
              </w:rPr>
            </w:pPr>
            <w:r>
              <w:rPr>
                <w:sz w:val="20"/>
              </w:rPr>
              <w:t>Aumento no número e na proporção de </w:t>
            </w:r>
            <w:r>
              <w:rPr>
                <w:spacing w:val="-2"/>
                <w:sz w:val="20"/>
              </w:rPr>
              <w:t>artigos </w:t>
            </w:r>
            <w:r>
              <w:rPr>
                <w:sz w:val="20"/>
              </w:rPr>
              <w:t>publicados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 periódicos de </w:t>
            </w:r>
            <w:r>
              <w:rPr>
                <w:spacing w:val="-2"/>
                <w:sz w:val="20"/>
              </w:rPr>
              <w:t>impacto superior</w:t>
            </w:r>
          </w:p>
        </w:tc>
        <w:tc>
          <w:tcPr>
            <w:tcW w:w="1653" w:type="dxa"/>
          </w:tcPr>
          <w:p>
            <w:pPr>
              <w:pStyle w:val="TableParagraph"/>
              <w:spacing w:line="283" w:lineRule="auto"/>
              <w:ind w:right="224"/>
              <w:rPr>
                <w:sz w:val="20"/>
              </w:rPr>
            </w:pPr>
            <w:r>
              <w:rPr>
                <w:spacing w:val="-2"/>
                <w:sz w:val="20"/>
              </w:rPr>
              <w:t>Pesquisadores selecionados </w:t>
            </w:r>
            <w:r>
              <w:rPr>
                <w:sz w:val="20"/>
              </w:rPr>
              <w:t>por editais internos de </w:t>
            </w:r>
            <w:r>
              <w:rPr>
                <w:spacing w:val="-2"/>
                <w:sz w:val="20"/>
              </w:rPr>
              <w:t>fomento</w:t>
            </w:r>
          </w:p>
        </w:tc>
      </w:tr>
      <w:tr>
        <w:trPr>
          <w:trHeight w:val="5328" w:hRule="atLeast"/>
        </w:trPr>
        <w:tc>
          <w:tcPr>
            <w:tcW w:w="1642" w:type="dxa"/>
          </w:tcPr>
          <w:p>
            <w:pPr>
              <w:pStyle w:val="TableParagraph"/>
              <w:spacing w:line="283" w:lineRule="auto"/>
              <w:ind w:left="3" w:right="104"/>
              <w:rPr>
                <w:sz w:val="20"/>
              </w:rPr>
            </w:pPr>
            <w:r>
              <w:rPr>
                <w:sz w:val="20"/>
              </w:rPr>
              <w:t>Aumentar a inserção dos docentes da UFMG em redes de colaboração nas diferentes áreas do </w:t>
            </w:r>
            <w:r>
              <w:rPr>
                <w:spacing w:val="-2"/>
                <w:sz w:val="20"/>
              </w:rPr>
              <w:t>conhecimento, </w:t>
            </w:r>
            <w:r>
              <w:rPr>
                <w:sz w:val="20"/>
              </w:rPr>
              <w:t>com ênfase no </w:t>
            </w:r>
            <w:r>
              <w:rPr>
                <w:spacing w:val="-2"/>
                <w:sz w:val="20"/>
              </w:rPr>
              <w:t>estabelecimento </w:t>
            </w:r>
            <w:r>
              <w:rPr>
                <w:sz w:val="20"/>
              </w:rPr>
              <w:t>de vínculos </w:t>
            </w:r>
            <w:r>
              <w:rPr>
                <w:spacing w:val="-2"/>
                <w:sz w:val="20"/>
              </w:rPr>
              <w:t>geograficamente diversificados, envolvendo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tanto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instituições </w:t>
            </w:r>
            <w:r>
              <w:rPr>
                <w:spacing w:val="-2"/>
                <w:sz w:val="20"/>
              </w:rPr>
              <w:t>brasileiras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quanto </w:t>
            </w:r>
            <w:r>
              <w:rPr>
                <w:sz w:val="20"/>
              </w:rPr>
              <w:t>instituições do </w:t>
            </w:r>
            <w:r>
              <w:rPr>
                <w:spacing w:val="-2"/>
                <w:sz w:val="20"/>
              </w:rPr>
              <w:t>exterior.</w:t>
            </w:r>
          </w:p>
        </w:tc>
        <w:tc>
          <w:tcPr>
            <w:tcW w:w="725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  <w:p>
            <w:pPr>
              <w:pStyle w:val="TableParagraph"/>
              <w:spacing w:before="42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1484" w:type="dxa"/>
          </w:tcPr>
          <w:p>
            <w:pPr>
              <w:pStyle w:val="TableParagraph"/>
              <w:spacing w:line="283" w:lineRule="auto"/>
              <w:ind w:left="2" w:right="173"/>
              <w:rPr>
                <w:sz w:val="20"/>
              </w:rPr>
            </w:pPr>
            <w:r>
              <w:rPr>
                <w:sz w:val="20"/>
              </w:rPr>
              <w:t>Número de parcerias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 percentual de </w:t>
            </w:r>
            <w:r>
              <w:rPr>
                <w:spacing w:val="-2"/>
                <w:sz w:val="20"/>
              </w:rPr>
              <w:t>coautorias internacionais </w:t>
            </w:r>
            <w:r>
              <w:rPr>
                <w:sz w:val="20"/>
              </w:rPr>
              <w:t>nos produtos de pesquisa (fontes: Web of Science, </w:t>
            </w:r>
            <w:r>
              <w:rPr>
                <w:spacing w:val="-2"/>
                <w:sz w:val="20"/>
              </w:rPr>
              <w:t>Scival)</w:t>
            </w:r>
          </w:p>
        </w:tc>
        <w:tc>
          <w:tcPr>
            <w:tcW w:w="1880" w:type="dxa"/>
          </w:tcPr>
          <w:p>
            <w:pPr>
              <w:pStyle w:val="TableParagraph"/>
              <w:spacing w:line="283" w:lineRule="auto"/>
              <w:ind w:right="138"/>
              <w:rPr>
                <w:sz w:val="20"/>
              </w:rPr>
            </w:pPr>
            <w:r>
              <w:rPr>
                <w:sz w:val="20"/>
              </w:rPr>
              <w:t>Passagens e diárias para visitas técnicas,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trabalhos de campo e participação em </w:t>
            </w:r>
            <w:r>
              <w:rPr>
                <w:spacing w:val="-2"/>
                <w:sz w:val="20"/>
              </w:rPr>
              <w:t>eventos.</w:t>
            </w:r>
          </w:p>
        </w:tc>
        <w:tc>
          <w:tcPr>
            <w:tcW w:w="1755" w:type="dxa"/>
          </w:tcPr>
          <w:p>
            <w:pPr>
              <w:pStyle w:val="TableParagraph"/>
              <w:spacing w:line="283" w:lineRule="auto"/>
              <w:ind w:right="197"/>
              <w:rPr>
                <w:sz w:val="20"/>
              </w:rPr>
            </w:pPr>
            <w:r>
              <w:rPr>
                <w:sz w:val="20"/>
              </w:rPr>
              <w:t>Editais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internos de fomento</w:t>
            </w:r>
          </w:p>
        </w:tc>
        <w:tc>
          <w:tcPr>
            <w:tcW w:w="1483" w:type="dxa"/>
          </w:tcPr>
          <w:p>
            <w:pPr>
              <w:pStyle w:val="TableParagraph"/>
              <w:spacing w:line="283" w:lineRule="auto"/>
              <w:ind w:right="108"/>
              <w:rPr>
                <w:sz w:val="20"/>
              </w:rPr>
            </w:pPr>
            <w:r>
              <w:rPr>
                <w:sz w:val="20"/>
              </w:rPr>
              <w:t>Aumento do número de parcerias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 percentual de </w:t>
            </w:r>
            <w:r>
              <w:rPr>
                <w:spacing w:val="-2"/>
                <w:sz w:val="20"/>
              </w:rPr>
              <w:t>coautorias internacionais </w:t>
            </w:r>
            <w:r>
              <w:rPr>
                <w:sz w:val="20"/>
              </w:rPr>
              <w:t>nos produtos de pesquisa</w:t>
            </w:r>
          </w:p>
        </w:tc>
        <w:tc>
          <w:tcPr>
            <w:tcW w:w="1653" w:type="dxa"/>
          </w:tcPr>
          <w:p>
            <w:pPr>
              <w:pStyle w:val="TableParagraph"/>
              <w:spacing w:line="283" w:lineRule="auto"/>
              <w:ind w:right="224"/>
              <w:rPr>
                <w:sz w:val="20"/>
              </w:rPr>
            </w:pPr>
            <w:r>
              <w:rPr>
                <w:spacing w:val="-2"/>
                <w:sz w:val="20"/>
              </w:rPr>
              <w:t>Pesquisadores selecionados </w:t>
            </w:r>
            <w:r>
              <w:rPr>
                <w:sz w:val="20"/>
              </w:rPr>
              <w:t>por editais internos de </w:t>
            </w:r>
            <w:r>
              <w:rPr>
                <w:spacing w:val="-2"/>
                <w:sz w:val="20"/>
              </w:rPr>
              <w:t>fomento</w:t>
            </w:r>
          </w:p>
        </w:tc>
      </w:tr>
      <w:tr>
        <w:trPr>
          <w:trHeight w:val="5239" w:hRule="atLeast"/>
        </w:trPr>
        <w:tc>
          <w:tcPr>
            <w:tcW w:w="1642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ind w:left="3" w:right="104"/>
              <w:rPr>
                <w:sz w:val="20"/>
              </w:rPr>
            </w:pPr>
            <w:r>
              <w:rPr>
                <w:spacing w:val="-4"/>
                <w:sz w:val="20"/>
              </w:rPr>
              <w:t>Dar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continuidade às ações da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Política de </w:t>
            </w:r>
            <w:r>
              <w:rPr>
                <w:spacing w:val="-2"/>
                <w:sz w:val="20"/>
              </w:rPr>
              <w:t>Infraestruturas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de Pesquisa da UFMG visando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à instalação e o </w:t>
            </w:r>
            <w:r>
              <w:rPr>
                <w:spacing w:val="-2"/>
                <w:sz w:val="20"/>
              </w:rPr>
              <w:t>aprimoramento </w:t>
            </w:r>
            <w:r>
              <w:rPr>
                <w:spacing w:val="-4"/>
                <w:sz w:val="20"/>
              </w:rPr>
              <w:t>das </w:t>
            </w:r>
            <w:r>
              <w:rPr>
                <w:spacing w:val="-2"/>
                <w:sz w:val="20"/>
              </w:rPr>
              <w:t>infraestruturas </w:t>
            </w:r>
            <w:r>
              <w:rPr>
                <w:sz w:val="20"/>
              </w:rPr>
              <w:t>laboratoriais de </w:t>
            </w:r>
            <w:r>
              <w:rPr>
                <w:spacing w:val="-2"/>
                <w:sz w:val="20"/>
              </w:rPr>
              <w:t>elevada complexidade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comum</w:t>
            </w:r>
          </w:p>
        </w:tc>
        <w:tc>
          <w:tcPr>
            <w:tcW w:w="725" w:type="dxa"/>
            <w:tcBorders>
              <w:bottom w:val="nil"/>
            </w:tcBorders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  <w:p>
            <w:pPr>
              <w:pStyle w:val="TableParagraph"/>
              <w:spacing w:before="42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1484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ind w:left="2"/>
              <w:rPr>
                <w:sz w:val="20"/>
              </w:rPr>
            </w:pPr>
            <w:r>
              <w:rPr>
                <w:spacing w:val="-2"/>
                <w:sz w:val="20"/>
              </w:rPr>
              <w:t>Equipamentos </w:t>
            </w:r>
            <w:r>
              <w:rPr>
                <w:sz w:val="20"/>
              </w:rPr>
              <w:t>disponíveis na </w:t>
            </w:r>
            <w:r>
              <w:rPr>
                <w:spacing w:val="-2"/>
                <w:sz w:val="20"/>
              </w:rPr>
              <w:t>infraestrutura institucional; </w:t>
            </w:r>
            <w:r>
              <w:rPr>
                <w:sz w:val="20"/>
              </w:rPr>
              <w:t>quantidade e qualidade das </w:t>
            </w:r>
            <w:r>
              <w:rPr>
                <w:spacing w:val="-2"/>
                <w:sz w:val="20"/>
              </w:rPr>
              <w:t>infraestruturas.</w:t>
            </w:r>
          </w:p>
          <w:p>
            <w:pPr>
              <w:pStyle w:val="TableParagraph"/>
              <w:spacing w:line="283" w:lineRule="auto" w:before="150"/>
              <w:ind w:left="2" w:right="129"/>
              <w:rPr>
                <w:sz w:val="20"/>
              </w:rPr>
            </w:pPr>
            <w:r>
              <w:rPr>
                <w:spacing w:val="-2"/>
                <w:sz w:val="20"/>
              </w:rPr>
              <w:t>Tempo despendido pelos pesquisadores </w:t>
            </w:r>
            <w:r>
              <w:rPr>
                <w:sz w:val="20"/>
              </w:rPr>
              <w:t>na gestão de </w:t>
            </w:r>
            <w:r>
              <w:rPr>
                <w:spacing w:val="-2"/>
                <w:sz w:val="20"/>
              </w:rPr>
              <w:t>projetos.</w:t>
            </w:r>
          </w:p>
        </w:tc>
        <w:tc>
          <w:tcPr>
            <w:tcW w:w="1880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rPr>
                <w:sz w:val="20"/>
              </w:rPr>
            </w:pPr>
            <w:r>
              <w:rPr>
                <w:sz w:val="20"/>
              </w:rPr>
              <w:t>Aquisição de equipamentos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 </w:t>
            </w:r>
            <w:r>
              <w:rPr>
                <w:spacing w:val="-2"/>
                <w:sz w:val="20"/>
              </w:rPr>
              <w:t>infraestruturas </w:t>
            </w:r>
            <w:r>
              <w:rPr>
                <w:sz w:val="20"/>
              </w:rPr>
              <w:t>institucionais de </w:t>
            </w:r>
            <w:r>
              <w:rPr>
                <w:spacing w:val="-2"/>
                <w:sz w:val="20"/>
              </w:rPr>
              <w:t>pesquisa;</w:t>
            </w: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4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1"/>
              <w:ind w:right="171"/>
              <w:rPr>
                <w:sz w:val="20"/>
              </w:rPr>
            </w:pPr>
            <w:r>
              <w:rPr>
                <w:sz w:val="20"/>
              </w:rPr>
              <w:t>Contratação de profissionais para auxílio na gestão dos projetos institucionais de pesquisa e das redes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pesquisa sediadas na </w:t>
            </w:r>
            <w:r>
              <w:rPr>
                <w:spacing w:val="-2"/>
                <w:sz w:val="20"/>
              </w:rPr>
              <w:t>UFMG.</w:t>
            </w:r>
          </w:p>
        </w:tc>
        <w:tc>
          <w:tcPr>
            <w:tcW w:w="1755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ind w:right="197"/>
              <w:rPr>
                <w:sz w:val="20"/>
              </w:rPr>
            </w:pPr>
            <w:r>
              <w:rPr>
                <w:sz w:val="20"/>
              </w:rPr>
              <w:t>Editais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internos de fomento</w:t>
            </w:r>
          </w:p>
          <w:p>
            <w:pPr>
              <w:pStyle w:val="TableParagraph"/>
              <w:spacing w:before="3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0"/>
              <w:ind w:right="197"/>
              <w:rPr>
                <w:sz w:val="20"/>
              </w:rPr>
            </w:pPr>
            <w:r>
              <w:rPr>
                <w:sz w:val="20"/>
              </w:rPr>
              <w:t>Investimentos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 melhoria dos espaços da </w:t>
            </w:r>
            <w:r>
              <w:rPr>
                <w:spacing w:val="-2"/>
                <w:sz w:val="20"/>
              </w:rPr>
              <w:t>universidade </w:t>
            </w:r>
            <w:r>
              <w:rPr>
                <w:sz w:val="20"/>
              </w:rPr>
              <w:t>onde se </w:t>
            </w:r>
            <w:r>
              <w:rPr>
                <w:spacing w:val="-2"/>
                <w:sz w:val="20"/>
              </w:rPr>
              <w:t>desenvolvem pesquisas inovadoras.</w:t>
            </w:r>
          </w:p>
        </w:tc>
        <w:tc>
          <w:tcPr>
            <w:tcW w:w="1483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ind w:right="142"/>
              <w:rPr>
                <w:sz w:val="20"/>
              </w:rPr>
            </w:pPr>
            <w:r>
              <w:rPr>
                <w:spacing w:val="-2"/>
                <w:sz w:val="20"/>
              </w:rPr>
              <w:t>Renovação</w:t>
            </w:r>
            <w:r>
              <w:rPr>
                <w:spacing w:val="80"/>
                <w:sz w:val="20"/>
              </w:rPr>
              <w:t> </w:t>
            </w:r>
            <w:r>
              <w:rPr>
                <w:spacing w:val="-4"/>
                <w:sz w:val="20"/>
              </w:rPr>
              <w:t>dos </w:t>
            </w:r>
            <w:r>
              <w:rPr>
                <w:spacing w:val="-2"/>
                <w:sz w:val="20"/>
              </w:rPr>
              <w:t>equipamentos </w:t>
            </w:r>
            <w:r>
              <w:rPr>
                <w:sz w:val="20"/>
              </w:rPr>
              <w:t>de alto custo e </w:t>
            </w:r>
            <w:r>
              <w:rPr>
                <w:spacing w:val="-4"/>
                <w:sz w:val="20"/>
              </w:rPr>
              <w:t>alta </w:t>
            </w:r>
            <w:r>
              <w:rPr>
                <w:spacing w:val="-2"/>
                <w:sz w:val="20"/>
              </w:rPr>
              <w:t>complexidade </w:t>
            </w:r>
            <w:r>
              <w:rPr>
                <w:spacing w:val="-6"/>
                <w:sz w:val="20"/>
              </w:rPr>
              <w:t>da </w:t>
            </w:r>
            <w:r>
              <w:rPr>
                <w:spacing w:val="-2"/>
                <w:sz w:val="20"/>
              </w:rPr>
              <w:t>infraestrutura institucional, </w:t>
            </w:r>
            <w:r>
              <w:rPr>
                <w:sz w:val="20"/>
              </w:rPr>
              <w:t>melhoria e ampliação das </w:t>
            </w:r>
            <w:r>
              <w:rPr>
                <w:spacing w:val="-2"/>
                <w:sz w:val="20"/>
              </w:rPr>
              <w:t>infraestruturas.</w:t>
            </w: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0"/>
              <w:ind w:right="108"/>
              <w:rPr>
                <w:sz w:val="20"/>
              </w:rPr>
            </w:pPr>
            <w:r>
              <w:rPr>
                <w:sz w:val="20"/>
              </w:rPr>
              <w:t>Aumento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 eficiência e redução do </w:t>
            </w:r>
            <w:r>
              <w:rPr>
                <w:spacing w:val="-2"/>
                <w:sz w:val="20"/>
              </w:rPr>
              <w:t>tempo</w:t>
            </w:r>
          </w:p>
        </w:tc>
        <w:tc>
          <w:tcPr>
            <w:tcW w:w="1653" w:type="dxa"/>
            <w:tcBorders>
              <w:bottom w:val="nil"/>
            </w:tcBorders>
          </w:tcPr>
          <w:p>
            <w:pPr>
              <w:pStyle w:val="TableParagraph"/>
              <w:spacing w:line="283" w:lineRule="auto"/>
              <w:ind w:right="224"/>
              <w:rPr>
                <w:sz w:val="20"/>
              </w:rPr>
            </w:pPr>
            <w:r>
              <w:rPr>
                <w:spacing w:val="-2"/>
                <w:sz w:val="20"/>
              </w:rPr>
              <w:t>Pesquisadores selecionados </w:t>
            </w:r>
            <w:r>
              <w:rPr>
                <w:sz w:val="20"/>
              </w:rPr>
              <w:t>por editais internos de </w:t>
            </w:r>
            <w:r>
              <w:rPr>
                <w:spacing w:val="-2"/>
                <w:sz w:val="20"/>
              </w:rPr>
              <w:t>fomento</w:t>
            </w:r>
          </w:p>
        </w:tc>
      </w:tr>
    </w:tbl>
    <w:p>
      <w:pPr>
        <w:pStyle w:val="TableParagraph"/>
        <w:spacing w:after="0" w:line="283" w:lineRule="auto"/>
        <w:rPr>
          <w:sz w:val="20"/>
        </w:rPr>
        <w:sectPr>
          <w:pgSz w:w="11900" w:h="16840"/>
          <w:pgMar w:header="0" w:footer="181" w:top="520" w:bottom="380" w:left="566" w:right="566"/>
        </w:sectPr>
      </w:pPr>
    </w:p>
    <w:p>
      <w:pPr>
        <w:pStyle w:val="BodyText"/>
        <w:spacing w:before="1"/>
        <w:rPr>
          <w:rFonts w:ascii="Arial"/>
          <w:b/>
          <w:sz w:val="2"/>
        </w:rPr>
      </w:pPr>
    </w:p>
    <w:tbl>
      <w:tblPr>
        <w:tblW w:w="0" w:type="auto"/>
        <w:jc w:val="left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725"/>
        <w:gridCol w:w="1484"/>
        <w:gridCol w:w="1880"/>
        <w:gridCol w:w="1755"/>
        <w:gridCol w:w="1483"/>
        <w:gridCol w:w="1653"/>
      </w:tblGrid>
      <w:tr>
        <w:trPr>
          <w:trHeight w:val="1537" w:hRule="atLeast"/>
        </w:trPr>
        <w:tc>
          <w:tcPr>
            <w:tcW w:w="1642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  <w:tcBorders>
              <w:top w:val="nil"/>
            </w:tcBorders>
          </w:tcPr>
          <w:p>
            <w:pPr>
              <w:pStyle w:val="TableParagraph"/>
              <w:spacing w:line="283" w:lineRule="auto" w:before="27"/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>despendido pelos pesquisadores </w:t>
            </w:r>
            <w:r>
              <w:rPr>
                <w:sz w:val="20"/>
              </w:rPr>
              <w:t>na gestão de </w:t>
            </w:r>
            <w:r>
              <w:rPr>
                <w:spacing w:val="-2"/>
                <w:sz w:val="20"/>
              </w:rPr>
              <w:t>projetos.</w:t>
            </w:r>
          </w:p>
        </w:tc>
        <w:tc>
          <w:tcPr>
            <w:tcW w:w="1653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39" w:hRule="atLeast"/>
        </w:trPr>
        <w:tc>
          <w:tcPr>
            <w:tcW w:w="1642" w:type="dxa"/>
          </w:tcPr>
          <w:p>
            <w:pPr>
              <w:pStyle w:val="TableParagraph"/>
              <w:spacing w:line="283" w:lineRule="auto"/>
              <w:ind w:left="3" w:right="113"/>
              <w:rPr>
                <w:sz w:val="20"/>
              </w:rPr>
            </w:pPr>
            <w:r>
              <w:rPr>
                <w:sz w:val="20"/>
              </w:rPr>
              <w:t>Consolidar a Política de </w:t>
            </w:r>
            <w:r>
              <w:rPr>
                <w:spacing w:val="-2"/>
                <w:sz w:val="20"/>
              </w:rPr>
              <w:t>Periódicos </w:t>
            </w:r>
            <w:r>
              <w:rPr>
                <w:sz w:val="20"/>
              </w:rPr>
              <w:t>Científicos da UFMG de forma a promover a </w:t>
            </w:r>
            <w:r>
              <w:rPr>
                <w:spacing w:val="-2"/>
                <w:sz w:val="20"/>
              </w:rPr>
              <w:t>melhoria </w:t>
            </w:r>
            <w:r>
              <w:rPr>
                <w:sz w:val="20"/>
              </w:rPr>
              <w:t>continuada, a visibilidade, o </w:t>
            </w:r>
            <w:r>
              <w:rPr>
                <w:spacing w:val="-2"/>
                <w:sz w:val="20"/>
              </w:rPr>
              <w:t>armazenamento </w:t>
            </w:r>
            <w:r>
              <w:rPr>
                <w:sz w:val="20"/>
              </w:rPr>
              <w:t>e a segurança dos dados</w:t>
            </w:r>
          </w:p>
        </w:tc>
        <w:tc>
          <w:tcPr>
            <w:tcW w:w="725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  <w:p>
            <w:pPr>
              <w:pStyle w:val="TableParagraph"/>
              <w:spacing w:before="42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1484" w:type="dxa"/>
          </w:tcPr>
          <w:p>
            <w:pPr>
              <w:pStyle w:val="TableParagraph"/>
              <w:spacing w:line="283" w:lineRule="auto"/>
              <w:ind w:left="2"/>
              <w:rPr>
                <w:sz w:val="20"/>
              </w:rPr>
            </w:pPr>
            <w:r>
              <w:rPr>
                <w:spacing w:val="-2"/>
                <w:sz w:val="20"/>
              </w:rPr>
              <w:t>Estrutura </w:t>
            </w:r>
            <w:r>
              <w:rPr>
                <w:sz w:val="20"/>
              </w:rPr>
              <w:t>editorial e indexação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 </w:t>
            </w:r>
            <w:r>
              <w:rPr>
                <w:spacing w:val="-2"/>
                <w:sz w:val="20"/>
              </w:rPr>
              <w:t>periódicos</w:t>
            </w:r>
          </w:p>
        </w:tc>
        <w:tc>
          <w:tcPr>
            <w:tcW w:w="1880" w:type="dxa"/>
          </w:tcPr>
          <w:p>
            <w:pPr>
              <w:pStyle w:val="TableParagraph"/>
              <w:spacing w:line="283" w:lineRule="auto"/>
              <w:ind w:right="138"/>
              <w:rPr>
                <w:sz w:val="20"/>
              </w:rPr>
            </w:pPr>
            <w:r>
              <w:rPr>
                <w:spacing w:val="-2"/>
                <w:sz w:val="20"/>
              </w:rPr>
              <w:t>Licenças </w:t>
            </w:r>
            <w:r>
              <w:rPr>
                <w:sz w:val="20"/>
              </w:rPr>
              <w:t>temporárias se software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científico.</w:t>
            </w: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4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0"/>
              <w:ind w:right="276"/>
              <w:jc w:val="both"/>
              <w:rPr>
                <w:sz w:val="20"/>
              </w:rPr>
            </w:pPr>
            <w:r>
              <w:rPr>
                <w:sz w:val="20"/>
              </w:rPr>
              <w:t>Equipamentos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 apoio à estrutura </w:t>
            </w:r>
            <w:r>
              <w:rPr>
                <w:spacing w:val="-2"/>
                <w:sz w:val="20"/>
              </w:rPr>
              <w:t>editorial.</w:t>
            </w:r>
          </w:p>
        </w:tc>
        <w:tc>
          <w:tcPr>
            <w:tcW w:w="1755" w:type="dxa"/>
          </w:tcPr>
          <w:p>
            <w:pPr>
              <w:pStyle w:val="TableParagraph"/>
              <w:spacing w:line="283" w:lineRule="auto"/>
              <w:ind w:right="71"/>
              <w:rPr>
                <w:sz w:val="20"/>
              </w:rPr>
            </w:pPr>
            <w:r>
              <w:rPr>
                <w:sz w:val="20"/>
              </w:rPr>
              <w:t>Custeio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mediante </w:t>
            </w:r>
            <w:r>
              <w:rPr>
                <w:spacing w:val="-2"/>
                <w:sz w:val="20"/>
              </w:rPr>
              <w:t>demanda justificada</w:t>
            </w:r>
          </w:p>
        </w:tc>
        <w:tc>
          <w:tcPr>
            <w:tcW w:w="1483" w:type="dxa"/>
          </w:tcPr>
          <w:p>
            <w:pPr>
              <w:pStyle w:val="TableParagraph"/>
              <w:spacing w:line="283" w:lineRule="auto"/>
              <w:ind w:right="108"/>
              <w:rPr>
                <w:sz w:val="20"/>
              </w:rPr>
            </w:pPr>
            <w:r>
              <w:rPr>
                <w:spacing w:val="-2"/>
                <w:sz w:val="20"/>
              </w:rPr>
              <w:t>Centralização </w:t>
            </w:r>
            <w:r>
              <w:rPr>
                <w:sz w:val="20"/>
              </w:rPr>
              <w:t>das ações de apoio editorial em um corpo técnico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estável e altamente </w:t>
            </w:r>
            <w:r>
              <w:rPr>
                <w:spacing w:val="-2"/>
                <w:sz w:val="20"/>
              </w:rPr>
              <w:t>capacitado.</w:t>
            </w:r>
          </w:p>
          <w:p>
            <w:pPr>
              <w:pStyle w:val="TableParagraph"/>
              <w:spacing w:line="283" w:lineRule="auto" w:before="3"/>
              <w:ind w:right="138"/>
              <w:rPr>
                <w:sz w:val="20"/>
              </w:rPr>
            </w:pPr>
            <w:r>
              <w:rPr>
                <w:sz w:val="20"/>
              </w:rPr>
              <w:t>Indexação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dos periódicos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nas </w:t>
            </w:r>
            <w:r>
              <w:rPr>
                <w:spacing w:val="-2"/>
                <w:sz w:val="20"/>
              </w:rPr>
              <w:t>principais bases internacionais.</w:t>
            </w:r>
          </w:p>
        </w:tc>
        <w:tc>
          <w:tcPr>
            <w:tcW w:w="1653" w:type="dxa"/>
          </w:tcPr>
          <w:p>
            <w:pPr>
              <w:pStyle w:val="TableParagraph"/>
              <w:spacing w:line="283" w:lineRule="auto"/>
              <w:ind w:right="224"/>
              <w:rPr>
                <w:sz w:val="20"/>
              </w:rPr>
            </w:pPr>
            <w:r>
              <w:rPr>
                <w:spacing w:val="-2"/>
                <w:sz w:val="20"/>
              </w:rPr>
              <w:t>Editores </w:t>
            </w:r>
            <w:r>
              <w:rPr>
                <w:sz w:val="20"/>
              </w:rPr>
              <w:t>científicos dos </w:t>
            </w:r>
            <w:r>
              <w:rPr>
                <w:spacing w:val="-2"/>
                <w:sz w:val="20"/>
              </w:rPr>
              <w:t>periódicos, </w:t>
            </w:r>
            <w:r>
              <w:rPr>
                <w:sz w:val="20"/>
              </w:rPr>
              <w:t>equipe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técnica do Portal de </w:t>
            </w:r>
            <w:r>
              <w:rPr>
                <w:spacing w:val="-2"/>
                <w:sz w:val="20"/>
              </w:rPr>
              <w:t>Periódicos</w:t>
            </w:r>
          </w:p>
        </w:tc>
      </w:tr>
      <w:tr>
        <w:trPr>
          <w:trHeight w:val="3528" w:hRule="atLeast"/>
        </w:trPr>
        <w:tc>
          <w:tcPr>
            <w:tcW w:w="1642" w:type="dxa"/>
          </w:tcPr>
          <w:p>
            <w:pPr>
              <w:pStyle w:val="TableParagraph"/>
              <w:spacing w:line="283" w:lineRule="auto"/>
              <w:ind w:left="3" w:right="124"/>
              <w:rPr>
                <w:sz w:val="20"/>
              </w:rPr>
            </w:pPr>
            <w:r>
              <w:rPr>
                <w:sz w:val="20"/>
              </w:rPr>
              <w:t>Fortalecer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ações de inovação científica e tecnológica em todas as áreas </w:t>
            </w:r>
            <w:r>
              <w:rPr>
                <w:spacing w:val="-6"/>
                <w:sz w:val="20"/>
              </w:rPr>
              <w:t>do</w:t>
            </w:r>
            <w:r>
              <w:rPr>
                <w:spacing w:val="80"/>
                <w:sz w:val="20"/>
              </w:rPr>
              <w:t> </w:t>
            </w:r>
            <w:r>
              <w:rPr>
                <w:spacing w:val="-2"/>
                <w:sz w:val="20"/>
              </w:rPr>
              <w:t>conhecimento</w:t>
            </w:r>
          </w:p>
        </w:tc>
        <w:tc>
          <w:tcPr>
            <w:tcW w:w="725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  <w:p>
            <w:pPr>
              <w:pStyle w:val="TableParagraph"/>
              <w:spacing w:before="42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meses</w:t>
            </w:r>
          </w:p>
        </w:tc>
        <w:tc>
          <w:tcPr>
            <w:tcW w:w="1484" w:type="dxa"/>
          </w:tcPr>
          <w:p>
            <w:pPr>
              <w:pStyle w:val="TableParagraph"/>
              <w:spacing w:line="283" w:lineRule="auto"/>
              <w:ind w:left="2" w:right="129"/>
              <w:rPr>
                <w:sz w:val="20"/>
              </w:rPr>
            </w:pPr>
            <w:r>
              <w:rPr>
                <w:sz w:val="20"/>
              </w:rPr>
              <w:t>Número e impacto dos produtos de inovação e </w:t>
            </w:r>
            <w:r>
              <w:rPr>
                <w:spacing w:val="-2"/>
                <w:sz w:val="20"/>
              </w:rPr>
              <w:t>crescimento </w:t>
            </w:r>
            <w:r>
              <w:rPr>
                <w:spacing w:val="-4"/>
                <w:sz w:val="20"/>
              </w:rPr>
              <w:t>das </w:t>
            </w:r>
            <w:r>
              <w:rPr>
                <w:spacing w:val="-2"/>
                <w:sz w:val="20"/>
              </w:rPr>
              <w:t>transferências </w:t>
            </w:r>
            <w:r>
              <w:rPr>
                <w:sz w:val="20"/>
              </w:rPr>
              <w:t>de tecnologia para o setor </w:t>
            </w:r>
            <w:r>
              <w:rPr>
                <w:spacing w:val="-2"/>
                <w:sz w:val="20"/>
              </w:rPr>
              <w:t>empresarial.</w:t>
            </w:r>
          </w:p>
        </w:tc>
        <w:tc>
          <w:tcPr>
            <w:tcW w:w="1880" w:type="dxa"/>
          </w:tcPr>
          <w:p>
            <w:pPr>
              <w:pStyle w:val="TableParagraph"/>
              <w:spacing w:line="283" w:lineRule="auto"/>
              <w:rPr>
                <w:sz w:val="20"/>
              </w:rPr>
            </w:pPr>
            <w:r>
              <w:rPr>
                <w:sz w:val="20"/>
              </w:rPr>
              <w:t>Custeio de </w:t>
            </w:r>
            <w:r>
              <w:rPr>
                <w:spacing w:val="-2"/>
                <w:sz w:val="20"/>
              </w:rPr>
              <w:t>propriedade intelectual.</w:t>
            </w: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4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0"/>
              <w:rPr>
                <w:sz w:val="20"/>
              </w:rPr>
            </w:pPr>
            <w:r>
              <w:rPr>
                <w:sz w:val="20"/>
              </w:rPr>
              <w:t>Capacitação de pesquisadores e técnicos para o </w:t>
            </w:r>
            <w:r>
              <w:rPr>
                <w:spacing w:val="-2"/>
                <w:sz w:val="20"/>
              </w:rPr>
              <w:t>empreendedorismo</w:t>
            </w:r>
          </w:p>
        </w:tc>
        <w:tc>
          <w:tcPr>
            <w:tcW w:w="1755" w:type="dxa"/>
          </w:tcPr>
          <w:p>
            <w:pPr>
              <w:pStyle w:val="TableParagraph"/>
              <w:spacing w:line="283" w:lineRule="auto"/>
              <w:rPr>
                <w:sz w:val="20"/>
              </w:rPr>
            </w:pPr>
            <w:r>
              <w:rPr>
                <w:sz w:val="20"/>
              </w:rPr>
              <w:t>Registro e manutenção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sz w:val="20"/>
              </w:rPr>
              <w:t>propriedade intelectual.</w:t>
            </w:r>
          </w:p>
          <w:p>
            <w:pPr>
              <w:pStyle w:val="TableParagraph"/>
              <w:spacing w:before="32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3" w:lineRule="auto" w:before="0"/>
              <w:ind w:right="140"/>
              <w:rPr>
                <w:sz w:val="20"/>
              </w:rPr>
            </w:pPr>
            <w:r>
              <w:rPr>
                <w:sz w:val="20"/>
              </w:rPr>
              <w:t>Apoio 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atividades que incentivem a criação de </w:t>
            </w:r>
            <w:r>
              <w:rPr>
                <w:spacing w:val="-2"/>
                <w:sz w:val="20"/>
              </w:rPr>
              <w:t>empreendimentos </w:t>
            </w:r>
            <w:r>
              <w:rPr>
                <w:sz w:val="20"/>
              </w:rPr>
              <w:t>de base </w:t>
            </w:r>
            <w:r>
              <w:rPr>
                <w:spacing w:val="-2"/>
                <w:sz w:val="20"/>
              </w:rPr>
              <w:t>tecnológica.</w:t>
            </w:r>
          </w:p>
        </w:tc>
        <w:tc>
          <w:tcPr>
            <w:tcW w:w="1483" w:type="dxa"/>
          </w:tcPr>
          <w:p>
            <w:pPr>
              <w:pStyle w:val="TableParagraph"/>
              <w:spacing w:line="283" w:lineRule="auto"/>
              <w:ind w:right="138"/>
              <w:rPr>
                <w:sz w:val="20"/>
              </w:rPr>
            </w:pPr>
            <w:r>
              <w:rPr>
                <w:sz w:val="20"/>
              </w:rPr>
              <w:t>Aumento no número e impacto dos produtos de inovação e </w:t>
            </w:r>
            <w:r>
              <w:rPr>
                <w:spacing w:val="-2"/>
                <w:sz w:val="20"/>
              </w:rPr>
              <w:t>crescimento </w:t>
            </w:r>
            <w:r>
              <w:rPr>
                <w:spacing w:val="-4"/>
                <w:sz w:val="20"/>
              </w:rPr>
              <w:t>das </w:t>
            </w:r>
            <w:r>
              <w:rPr>
                <w:spacing w:val="-2"/>
                <w:sz w:val="20"/>
              </w:rPr>
              <w:t>transferências </w:t>
            </w:r>
            <w:r>
              <w:rPr>
                <w:sz w:val="20"/>
              </w:rPr>
              <w:t>de tecnologia para o setor </w:t>
            </w:r>
            <w:r>
              <w:rPr>
                <w:spacing w:val="-2"/>
                <w:sz w:val="20"/>
              </w:rPr>
              <w:t>empresarial.</w:t>
            </w:r>
          </w:p>
        </w:tc>
        <w:tc>
          <w:tcPr>
            <w:tcW w:w="1653" w:type="dxa"/>
          </w:tcPr>
          <w:p>
            <w:pPr>
              <w:pStyle w:val="TableParagraph"/>
              <w:spacing w:line="283" w:lineRule="auto"/>
              <w:ind w:right="120"/>
              <w:rPr>
                <w:sz w:val="20"/>
              </w:rPr>
            </w:pPr>
            <w:r>
              <w:rPr>
                <w:spacing w:val="-2"/>
                <w:sz w:val="20"/>
              </w:rPr>
              <w:t>Pesquisadores responsáveis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pelo </w:t>
            </w:r>
            <w:r>
              <w:rPr>
                <w:spacing w:val="-2"/>
                <w:sz w:val="20"/>
              </w:rPr>
              <w:t>desenvolvimento </w:t>
            </w:r>
            <w:r>
              <w:rPr>
                <w:sz w:val="20"/>
              </w:rPr>
              <w:t>de tecnologias </w:t>
            </w:r>
            <w:r>
              <w:rPr>
                <w:spacing w:val="-2"/>
                <w:sz w:val="20"/>
              </w:rPr>
              <w:t>inovadoras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0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INVESTIMENTO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z w:val="20"/>
        </w:rPr>
        <w:t>ORIGEM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z w:val="20"/>
        </w:rPr>
        <w:t>DOS</w:t>
      </w:r>
      <w:r>
        <w:rPr>
          <w:rFonts w:ascii="Arial"/>
          <w:b/>
          <w:spacing w:val="2"/>
          <w:sz w:val="20"/>
        </w:rPr>
        <w:t> </w:t>
      </w:r>
      <w:r>
        <w:rPr>
          <w:rFonts w:ascii="Arial"/>
          <w:b/>
          <w:spacing w:val="-2"/>
          <w:sz w:val="20"/>
        </w:rPr>
        <w:t>RECURSOS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76"/>
        <w:rPr>
          <w:rFonts w:ascii="Arial"/>
          <w:b/>
        </w:rPr>
      </w:pP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0" w:after="0"/>
        <w:ind w:left="117" w:right="349" w:firstLine="0"/>
        <w:jc w:val="left"/>
        <w:rPr>
          <w:rFonts w:ascii="Arial" w:hAnsi="Arial"/>
          <w:b/>
          <w:sz w:val="20"/>
        </w:rPr>
      </w:pPr>
      <w:r>
        <w:rPr>
          <w:sz w:val="20"/>
        </w:rPr>
        <w:t>O investimento inicial previsto é de R$ 4.648.648,65 (quatro milhões, seiscentos e quarenta e oito mil, seiscentos e quarenta e oito reais e sessenta e cinco centavos), provenientes de contrapartida financeira pelo uso da estrutura e do capital intelectual da Universidade (Art. 4º da Lei nº 10.973/2004).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" w:after="0"/>
        <w:ind w:left="117" w:right="224" w:firstLine="0"/>
        <w:jc w:val="left"/>
        <w:rPr>
          <w:rFonts w:ascii="Arial" w:hAnsi="Arial"/>
          <w:b/>
          <w:sz w:val="20"/>
        </w:rPr>
      </w:pPr>
      <w:r>
        <w:rPr>
          <w:sz w:val="20"/>
        </w:rPr>
        <w:t>Novos</w:t>
      </w:r>
      <w:r>
        <w:rPr>
          <w:spacing w:val="20"/>
          <w:sz w:val="20"/>
        </w:rPr>
        <w:t> </w:t>
      </w:r>
      <w:r>
        <w:rPr>
          <w:sz w:val="20"/>
        </w:rPr>
        <w:t>aportes</w:t>
      </w:r>
      <w:r>
        <w:rPr>
          <w:spacing w:val="20"/>
          <w:sz w:val="20"/>
        </w:rPr>
        <w:t> </w:t>
      </w:r>
      <w:r>
        <w:rPr>
          <w:sz w:val="20"/>
        </w:rPr>
        <w:t>financeiros</w:t>
      </w:r>
      <w:r>
        <w:rPr>
          <w:spacing w:val="20"/>
          <w:sz w:val="20"/>
        </w:rPr>
        <w:t> </w:t>
      </w:r>
      <w:r>
        <w:rPr>
          <w:sz w:val="20"/>
        </w:rPr>
        <w:t>serão</w:t>
      </w:r>
      <w:r>
        <w:rPr>
          <w:spacing w:val="19"/>
          <w:sz w:val="20"/>
        </w:rPr>
        <w:t> </w:t>
      </w:r>
      <w:r>
        <w:rPr>
          <w:sz w:val="20"/>
        </w:rPr>
        <w:t>feitos</w:t>
      </w:r>
      <w:r>
        <w:rPr>
          <w:spacing w:val="20"/>
          <w:sz w:val="20"/>
        </w:rPr>
        <w:t> </w:t>
      </w:r>
      <w:r>
        <w:rPr>
          <w:sz w:val="20"/>
        </w:rPr>
        <w:t>pela</w:t>
      </w:r>
      <w:r>
        <w:rPr>
          <w:spacing w:val="19"/>
          <w:sz w:val="20"/>
        </w:rPr>
        <w:t> </w:t>
      </w:r>
      <w:r>
        <w:rPr>
          <w:sz w:val="20"/>
        </w:rPr>
        <w:t>própria</w:t>
      </w:r>
      <w:r>
        <w:rPr>
          <w:spacing w:val="19"/>
          <w:sz w:val="20"/>
        </w:rPr>
        <w:t> </w:t>
      </w:r>
      <w:r>
        <w:rPr>
          <w:sz w:val="20"/>
        </w:rPr>
        <w:t>UFMG,</w:t>
      </w:r>
      <w:r>
        <w:rPr>
          <w:spacing w:val="20"/>
          <w:sz w:val="20"/>
        </w:rPr>
        <w:t> </w:t>
      </w:r>
      <w:r>
        <w:rPr>
          <w:sz w:val="20"/>
        </w:rPr>
        <w:t>por</w:t>
      </w:r>
      <w:r>
        <w:rPr>
          <w:spacing w:val="19"/>
          <w:sz w:val="20"/>
        </w:rPr>
        <w:t> </w:t>
      </w:r>
      <w:r>
        <w:rPr>
          <w:sz w:val="20"/>
        </w:rPr>
        <w:t>meio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seu</w:t>
      </w:r>
      <w:r>
        <w:rPr>
          <w:spacing w:val="19"/>
          <w:sz w:val="20"/>
        </w:rPr>
        <w:t> </w:t>
      </w:r>
      <w:r>
        <w:rPr>
          <w:sz w:val="20"/>
        </w:rPr>
        <w:t>orçamento,</w:t>
      </w:r>
      <w:r>
        <w:rPr>
          <w:spacing w:val="20"/>
          <w:sz w:val="20"/>
        </w:rPr>
        <w:t> </w:t>
      </w:r>
      <w:r>
        <w:rPr>
          <w:sz w:val="20"/>
        </w:rPr>
        <w:t>emendas parlamentares, TEDs e outros recursos orçamentários, assim como pelas Fundações de Apoio </w:t>
      </w:r>
      <w:r>
        <w:rPr>
          <w:sz w:val="19"/>
        </w:rPr>
        <w:t>da Universidade ou suas unidades </w:t>
      </w:r>
      <w:r>
        <w:rPr>
          <w:sz w:val="20"/>
        </w:rPr>
        <w:t>, por meio de projetos de pesquisa, desenvolvimento e inovação administrados por essas fundações, desde que sejam receitas previstas n</w:t>
      </w:r>
      <w:r>
        <w:rPr>
          <w:sz w:val="19"/>
        </w:rPr>
        <w:t>o parágrafo único do art. 18, da Lei nº 10.973/2004 </w:t>
      </w:r>
      <w:r>
        <w:rPr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49" w:after="0"/>
        <w:ind w:left="117" w:right="738" w:firstLine="0"/>
        <w:jc w:val="left"/>
        <w:rPr>
          <w:rFonts w:ascii="Arial" w:hAnsi="Arial"/>
          <w:b/>
          <w:sz w:val="20"/>
        </w:rPr>
      </w:pPr>
      <w:r>
        <w:rPr>
          <w:sz w:val="20"/>
        </w:rPr>
        <w:t>Os recursos captados conforme o Art. 18, Parágrafo único, da Lei nº 10.973/2004 devem serem aplicados exclusivamente em objetivos institucionais de pesquisa, desenvolvimento e inovação, incluindo a carteira de projetos institucionais e a gestão da política de inovação.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25"/>
        <w:jc w:val="left"/>
      </w:pPr>
      <w:r>
        <w:rPr/>
        <w:t>ORÇAMENTO</w:t>
      </w:r>
      <w:r>
        <w:rPr>
          <w:spacing w:val="6"/>
        </w:rPr>
        <w:t> </w:t>
      </w:r>
      <w:r>
        <w:rPr>
          <w:spacing w:val="-2"/>
        </w:rPr>
        <w:t>DETALHADO</w:t>
      </w:r>
    </w:p>
    <w:p>
      <w:pPr>
        <w:pStyle w:val="BodyText"/>
        <w:spacing w:line="283" w:lineRule="auto" w:before="189"/>
        <w:ind w:left="117" w:right="371"/>
      </w:pPr>
      <w:r>
        <w:rPr/>
        <w:t>O quadro a seguir apresenta a estimativa dos itens que serão fomentados por este PDI, considerando a natureza dos projetos de pesquisa científica, tecnológica e de inovação, os objetivos desta iniciativa, assim como as Metas, Cronograma e Indicadores expostos no item 6.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4958"/>
        <w:gridCol w:w="1720"/>
      </w:tblGrid>
      <w:tr>
        <w:trPr>
          <w:trHeight w:val="235" w:hRule="atLeast"/>
        </w:trPr>
        <w:tc>
          <w:tcPr>
            <w:tcW w:w="2762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95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720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1900" w:h="16840"/>
          <w:pgMar w:header="0" w:footer="181" w:top="540" w:bottom="380" w:left="566" w:right="566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4958"/>
        <w:gridCol w:w="1720"/>
      </w:tblGrid>
      <w:tr>
        <w:trPr>
          <w:trHeight w:val="224" w:hRule="atLeast"/>
        </w:trPr>
        <w:tc>
          <w:tcPr>
            <w:tcW w:w="2762" w:type="dxa"/>
            <w:tcBorders>
              <w:top w:val="nil"/>
            </w:tcBorders>
          </w:tcPr>
          <w:p>
            <w:pPr>
              <w:pStyle w:val="TableParagraph"/>
              <w:spacing w:line="177" w:lineRule="exact" w:before="27"/>
              <w:ind w:lef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Rubrica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TableParagraph"/>
              <w:spacing w:line="177" w:lineRule="exact" w:before="27"/>
              <w:ind w:left="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Descrição</w:t>
            </w:r>
          </w:p>
        </w:tc>
        <w:tc>
          <w:tcPr>
            <w:tcW w:w="1720" w:type="dxa"/>
            <w:tcBorders>
              <w:top w:val="nil"/>
            </w:tcBorders>
          </w:tcPr>
          <w:p>
            <w:pPr>
              <w:pStyle w:val="TableParagraph"/>
              <w:spacing w:line="177" w:lineRule="exact" w:before="27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Valor</w:t>
            </w:r>
          </w:p>
        </w:tc>
      </w:tr>
      <w:tr>
        <w:trPr>
          <w:trHeight w:val="709" w:hRule="atLeast"/>
        </w:trPr>
        <w:tc>
          <w:tcPr>
            <w:tcW w:w="2762" w:type="dxa"/>
          </w:tcPr>
          <w:p>
            <w:pPr>
              <w:pStyle w:val="TableParagraph"/>
              <w:spacing w:line="283" w:lineRule="auto"/>
              <w:ind w:left="3"/>
              <w:rPr>
                <w:sz w:val="20"/>
              </w:rPr>
            </w:pPr>
            <w:r>
              <w:rPr>
                <w:sz w:val="20"/>
              </w:rPr>
              <w:t>PESSOA FÍSICA – Bolsas a </w:t>
            </w:r>
            <w:r>
              <w:rPr>
                <w:spacing w:val="-2"/>
                <w:sz w:val="20"/>
              </w:rPr>
              <w:t>servidores</w:t>
            </w:r>
          </w:p>
        </w:tc>
        <w:tc>
          <w:tcPr>
            <w:tcW w:w="4958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aplica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>
        <w:trPr>
          <w:trHeight w:val="981" w:hRule="atLeast"/>
        </w:trPr>
        <w:tc>
          <w:tcPr>
            <w:tcW w:w="2762" w:type="dxa"/>
          </w:tcPr>
          <w:p>
            <w:pPr>
              <w:pStyle w:val="TableParagraph"/>
              <w:spacing w:line="283" w:lineRule="auto"/>
              <w:ind w:left="3"/>
              <w:rPr>
                <w:sz w:val="20"/>
              </w:rPr>
            </w:pPr>
            <w:r>
              <w:rPr>
                <w:sz w:val="20"/>
              </w:rPr>
              <w:t>PESSOA FÍSICA – Pessoal Especializado (CLT e </w:t>
            </w:r>
            <w:r>
              <w:rPr>
                <w:spacing w:val="-2"/>
                <w:sz w:val="20"/>
              </w:rPr>
              <w:t>autônomo)</w:t>
            </w:r>
          </w:p>
        </w:tc>
        <w:tc>
          <w:tcPr>
            <w:tcW w:w="4958" w:type="dxa"/>
          </w:tcPr>
          <w:p>
            <w:pPr>
              <w:pStyle w:val="TableParagraph"/>
              <w:spacing w:line="283" w:lineRule="auto"/>
              <w:ind w:left="4"/>
              <w:rPr>
                <w:sz w:val="20"/>
              </w:rPr>
            </w:pPr>
            <w:r>
              <w:rPr>
                <w:sz w:val="20"/>
              </w:rPr>
              <w:t>Profissionais para auxílio na gestão dos projetos e redes institucionais de pesquisa.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800.000,00</w:t>
            </w:r>
          </w:p>
        </w:tc>
      </w:tr>
      <w:tr>
        <w:trPr>
          <w:trHeight w:val="709" w:hRule="atLeast"/>
        </w:trPr>
        <w:tc>
          <w:tcPr>
            <w:tcW w:w="2762" w:type="dxa"/>
          </w:tcPr>
          <w:p>
            <w:pPr>
              <w:pStyle w:val="TableParagraph"/>
              <w:spacing w:line="283" w:lineRule="auto"/>
              <w:ind w:left="3"/>
              <w:rPr>
                <w:sz w:val="20"/>
              </w:rPr>
            </w:pPr>
            <w:r>
              <w:rPr>
                <w:sz w:val="20"/>
              </w:rPr>
              <w:t>PESSOA FÍSICA – Bolsas a </w:t>
            </w:r>
            <w:r>
              <w:rPr>
                <w:spacing w:val="-2"/>
                <w:sz w:val="20"/>
              </w:rPr>
              <w:t>estudantes</w:t>
            </w:r>
          </w:p>
        </w:tc>
        <w:tc>
          <w:tcPr>
            <w:tcW w:w="4958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aplica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>
        <w:trPr>
          <w:trHeight w:val="437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SOFTWARE</w:t>
            </w:r>
          </w:p>
        </w:tc>
        <w:tc>
          <w:tcPr>
            <w:tcW w:w="4958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Licenças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software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científico.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700.000,00</w:t>
            </w:r>
          </w:p>
        </w:tc>
      </w:tr>
      <w:tr>
        <w:trPr>
          <w:trHeight w:val="981" w:hRule="atLeast"/>
        </w:trPr>
        <w:tc>
          <w:tcPr>
            <w:tcW w:w="2762" w:type="dxa"/>
          </w:tcPr>
          <w:p>
            <w:pPr>
              <w:pStyle w:val="TableParagraph"/>
              <w:spacing w:line="283" w:lineRule="auto"/>
              <w:ind w:left="3"/>
              <w:rPr>
                <w:sz w:val="20"/>
              </w:rPr>
            </w:pPr>
            <w:r>
              <w:rPr>
                <w:sz w:val="20"/>
              </w:rPr>
              <w:t>MATERIAL PERMANENTE / </w:t>
            </w:r>
            <w:r>
              <w:rPr>
                <w:spacing w:val="-2"/>
                <w:sz w:val="20"/>
              </w:rPr>
              <w:t>EQUIPAMENTOS</w:t>
            </w:r>
          </w:p>
        </w:tc>
        <w:tc>
          <w:tcPr>
            <w:tcW w:w="4958" w:type="dxa"/>
          </w:tcPr>
          <w:p>
            <w:pPr>
              <w:pStyle w:val="TableParagraph"/>
              <w:spacing w:line="283" w:lineRule="auto"/>
              <w:ind w:left="4"/>
              <w:rPr>
                <w:sz w:val="20"/>
              </w:rPr>
            </w:pPr>
            <w:r>
              <w:rPr>
                <w:sz w:val="20"/>
              </w:rPr>
              <w:t>Equipamentos para infraestrutura de apoio a laboratórios institucionais, como sistemas de energia, transmissão de dados e climatização.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1.200.000,00</w:t>
            </w:r>
          </w:p>
        </w:tc>
      </w:tr>
      <w:tr>
        <w:trPr>
          <w:trHeight w:val="709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PASSAGENS</w:t>
            </w:r>
          </w:p>
        </w:tc>
        <w:tc>
          <w:tcPr>
            <w:tcW w:w="4958" w:type="dxa"/>
          </w:tcPr>
          <w:p>
            <w:pPr>
              <w:pStyle w:val="TableParagraph"/>
              <w:spacing w:line="283" w:lineRule="auto"/>
              <w:ind w:left="4"/>
              <w:rPr>
                <w:sz w:val="20"/>
              </w:rPr>
            </w:pPr>
            <w:r>
              <w:rPr>
                <w:sz w:val="20"/>
              </w:rPr>
              <w:t>Passagens para visitas técnicas a universidades e empresas parceiras em ações de inovação.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50.000,00</w:t>
            </w:r>
          </w:p>
        </w:tc>
      </w:tr>
      <w:tr>
        <w:trPr>
          <w:trHeight w:val="709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DIÁRIAS</w:t>
            </w:r>
          </w:p>
        </w:tc>
        <w:tc>
          <w:tcPr>
            <w:tcW w:w="4958" w:type="dxa"/>
          </w:tcPr>
          <w:p>
            <w:pPr>
              <w:pStyle w:val="TableParagraph"/>
              <w:spacing w:line="283" w:lineRule="auto"/>
              <w:ind w:left="4"/>
              <w:rPr>
                <w:sz w:val="20"/>
              </w:rPr>
            </w:pPr>
            <w:r>
              <w:rPr>
                <w:sz w:val="20"/>
              </w:rPr>
              <w:t>Diárias para visitas técnicas a universidades e empresas parceiras em ações de inovação.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50.000,00</w:t>
            </w:r>
          </w:p>
        </w:tc>
      </w:tr>
      <w:tr>
        <w:trPr>
          <w:trHeight w:val="1252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PESSOA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JURÍDICA</w:t>
            </w:r>
          </w:p>
        </w:tc>
        <w:tc>
          <w:tcPr>
            <w:tcW w:w="4958" w:type="dxa"/>
          </w:tcPr>
          <w:p>
            <w:pPr>
              <w:pStyle w:val="TableParagraph"/>
              <w:spacing w:line="283" w:lineRule="auto"/>
              <w:ind w:left="4" w:right="171"/>
              <w:rPr>
                <w:sz w:val="20"/>
              </w:rPr>
            </w:pPr>
            <w:r>
              <w:rPr>
                <w:sz w:val="20"/>
              </w:rPr>
              <w:t>Apoio especializado para instalação e recuperação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 equipamentos de pesquisa e adaptação de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espaço físico para receber equipamentos. Custeio de propriedade intelectual.</w:t>
            </w: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1.500.000,00</w:t>
            </w:r>
          </w:p>
        </w:tc>
      </w:tr>
      <w:tr>
        <w:trPr>
          <w:trHeight w:val="437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SUBTOTAL</w:t>
            </w:r>
          </w:p>
        </w:tc>
        <w:tc>
          <w:tcPr>
            <w:tcW w:w="495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4.300.000,00</w:t>
            </w:r>
          </w:p>
        </w:tc>
      </w:tr>
      <w:tr>
        <w:trPr>
          <w:trHeight w:val="709" w:hRule="atLeast"/>
        </w:trPr>
        <w:tc>
          <w:tcPr>
            <w:tcW w:w="2762" w:type="dxa"/>
          </w:tcPr>
          <w:p>
            <w:pPr>
              <w:pStyle w:val="TableParagraph"/>
              <w:spacing w:line="283" w:lineRule="auto"/>
              <w:ind w:left="3"/>
              <w:rPr>
                <w:sz w:val="20"/>
              </w:rPr>
            </w:pPr>
            <w:r>
              <w:rPr>
                <w:sz w:val="20"/>
              </w:rPr>
              <w:t>SERVIÇOS DA FUNDAÇÃO DE APOIO</w:t>
            </w:r>
          </w:p>
        </w:tc>
        <w:tc>
          <w:tcPr>
            <w:tcW w:w="495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348.648,65</w:t>
            </w:r>
          </w:p>
        </w:tc>
      </w:tr>
      <w:tr>
        <w:trPr>
          <w:trHeight w:val="437" w:hRule="atLeast"/>
        </w:trPr>
        <w:tc>
          <w:tcPr>
            <w:tcW w:w="2762" w:type="dxa"/>
          </w:tcPr>
          <w:p>
            <w:pPr>
              <w:pStyle w:val="TableParagraph"/>
              <w:ind w:lef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2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GERAL</w:t>
            </w:r>
          </w:p>
        </w:tc>
        <w:tc>
          <w:tcPr>
            <w:tcW w:w="495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20" w:type="dxa"/>
          </w:tcPr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4.648.648,65</w:t>
            </w:r>
          </w:p>
        </w:tc>
      </w:tr>
    </w:tbl>
    <w:p>
      <w:pPr>
        <w:pStyle w:val="BodyText"/>
        <w:spacing w:before="227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1" w:after="0"/>
        <w:ind w:left="342" w:right="0" w:hanging="225"/>
        <w:jc w:val="left"/>
      </w:pPr>
      <w:r>
        <w:rPr/>
        <w:t>GESTÃO</w:t>
      </w:r>
      <w:r>
        <w:rPr>
          <w:spacing w:val="4"/>
        </w:rPr>
        <w:t> </w:t>
      </w:r>
      <w:r>
        <w:rPr>
          <w:spacing w:val="-2"/>
        </w:rPr>
        <w:t>FINANCEIRA</w:t>
      </w:r>
    </w:p>
    <w:p>
      <w:pPr>
        <w:pStyle w:val="ListParagraph"/>
        <w:numPr>
          <w:ilvl w:val="1"/>
          <w:numId w:val="1"/>
        </w:numPr>
        <w:tabs>
          <w:tab w:pos="453" w:val="left" w:leader="none"/>
        </w:tabs>
        <w:spacing w:line="283" w:lineRule="auto" w:before="188" w:after="0"/>
        <w:ind w:left="117" w:right="131" w:firstLine="0"/>
        <w:jc w:val="left"/>
        <w:rPr>
          <w:rFonts w:ascii="Arial" w:hAnsi="Arial"/>
          <w:b/>
          <w:sz w:val="20"/>
        </w:rPr>
      </w:pPr>
      <w:r>
        <w:rPr>
          <w:sz w:val="20"/>
        </w:rPr>
        <w:t>Os</w:t>
      </w:r>
      <w:r>
        <w:rPr>
          <w:spacing w:val="16"/>
          <w:sz w:val="20"/>
        </w:rPr>
        <w:t> </w:t>
      </w:r>
      <w:r>
        <w:rPr>
          <w:sz w:val="20"/>
        </w:rPr>
        <w:t>recursos,</w:t>
      </w:r>
      <w:r>
        <w:rPr>
          <w:spacing w:val="16"/>
          <w:sz w:val="20"/>
        </w:rPr>
        <w:t> </w:t>
      </w:r>
      <w:r>
        <w:rPr>
          <w:sz w:val="20"/>
        </w:rPr>
        <w:t>capitados</w:t>
      </w:r>
      <w:r>
        <w:rPr>
          <w:spacing w:val="16"/>
          <w:sz w:val="20"/>
        </w:rPr>
        <w:t> </w:t>
      </w:r>
      <w:r>
        <w:rPr>
          <w:sz w:val="20"/>
        </w:rPr>
        <w:t>na</w:t>
      </w:r>
      <w:r>
        <w:rPr>
          <w:spacing w:val="15"/>
          <w:sz w:val="20"/>
        </w:rPr>
        <w:t> </w:t>
      </w:r>
      <w:r>
        <w:rPr>
          <w:sz w:val="20"/>
        </w:rPr>
        <w:t>forma</w:t>
      </w:r>
      <w:r>
        <w:rPr>
          <w:spacing w:val="15"/>
          <w:sz w:val="20"/>
        </w:rPr>
        <w:t> </w:t>
      </w:r>
      <w:r>
        <w:rPr>
          <w:sz w:val="20"/>
        </w:rPr>
        <w:t>prevista</w:t>
      </w:r>
      <w:r>
        <w:rPr>
          <w:spacing w:val="15"/>
          <w:sz w:val="20"/>
        </w:rPr>
        <w:t> </w:t>
      </w:r>
      <w:r>
        <w:rPr>
          <w:sz w:val="20"/>
        </w:rPr>
        <w:t>no</w:t>
      </w:r>
      <w:r>
        <w:rPr>
          <w:spacing w:val="15"/>
          <w:sz w:val="20"/>
        </w:rPr>
        <w:t> </w:t>
      </w:r>
      <w:r>
        <w:rPr>
          <w:sz w:val="20"/>
        </w:rPr>
        <w:t>item</w:t>
      </w:r>
      <w:r>
        <w:rPr>
          <w:spacing w:val="15"/>
          <w:sz w:val="20"/>
        </w:rPr>
        <w:t> </w:t>
      </w:r>
      <w:r>
        <w:rPr>
          <w:sz w:val="20"/>
        </w:rPr>
        <w:t>7</w:t>
      </w:r>
      <w:r>
        <w:rPr>
          <w:spacing w:val="15"/>
          <w:sz w:val="20"/>
        </w:rPr>
        <w:t> </w:t>
      </w:r>
      <w:r>
        <w:rPr>
          <w:sz w:val="20"/>
        </w:rPr>
        <w:t>deste</w:t>
      </w:r>
      <w:r>
        <w:rPr>
          <w:spacing w:val="15"/>
          <w:sz w:val="20"/>
        </w:rPr>
        <w:t> </w:t>
      </w:r>
      <w:r>
        <w:rPr>
          <w:sz w:val="20"/>
        </w:rPr>
        <w:t>projeto,</w:t>
      </w:r>
      <w:r>
        <w:rPr>
          <w:spacing w:val="16"/>
          <w:sz w:val="20"/>
        </w:rPr>
        <w:t> </w:t>
      </w:r>
      <w:r>
        <w:rPr>
          <w:sz w:val="20"/>
        </w:rPr>
        <w:t>serão</w:t>
      </w:r>
      <w:r>
        <w:rPr>
          <w:spacing w:val="15"/>
          <w:sz w:val="20"/>
        </w:rPr>
        <w:t> </w:t>
      </w:r>
      <w:r>
        <w:rPr>
          <w:sz w:val="20"/>
        </w:rPr>
        <w:t>geridos</w:t>
      </w:r>
      <w:r>
        <w:rPr>
          <w:spacing w:val="16"/>
          <w:sz w:val="20"/>
        </w:rPr>
        <w:t> </w:t>
      </w:r>
      <w:r>
        <w:rPr>
          <w:sz w:val="20"/>
        </w:rPr>
        <w:t>por</w:t>
      </w:r>
      <w:r>
        <w:rPr>
          <w:spacing w:val="15"/>
          <w:sz w:val="20"/>
        </w:rPr>
        <w:t> </w:t>
      </w:r>
      <w:r>
        <w:rPr>
          <w:sz w:val="20"/>
        </w:rPr>
        <w:t>fundação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15"/>
          <w:sz w:val="20"/>
        </w:rPr>
        <w:t> </w:t>
      </w:r>
      <w:r>
        <w:rPr>
          <w:sz w:val="20"/>
        </w:rPr>
        <w:t>apoio,</w:t>
      </w:r>
      <w:r>
        <w:rPr>
          <w:spacing w:val="16"/>
          <w:sz w:val="20"/>
        </w:rPr>
        <w:t> </w:t>
      </w:r>
      <w:r>
        <w:rPr>
          <w:sz w:val="20"/>
        </w:rPr>
        <w:t>com base na Lei 8.958/14, regulamentada pelo Decreto no 7.423/10 e no que couber ao artigo 4o da Lei 13.979 de 06 de fevereiro de 2020. Os serviços a serem prestados pela fundação de apoio estão especificados qualitativa e quantitativamente (ainda que de forma estimada) no adendo ao projeto " Formas e Condições", que constitui parte integrante do respectivo contrato. A atuação da fundação de apoio será destinada à melhoria de infraestrutura, à contratação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serviços</w:t>
      </w:r>
      <w:r>
        <w:rPr>
          <w:spacing w:val="21"/>
          <w:sz w:val="20"/>
        </w:rPr>
        <w:t> </w:t>
      </w:r>
      <w:r>
        <w:rPr>
          <w:sz w:val="20"/>
        </w:rPr>
        <w:t>e</w:t>
      </w:r>
      <w:r>
        <w:rPr>
          <w:spacing w:val="20"/>
          <w:sz w:val="20"/>
        </w:rPr>
        <w:t> </w:t>
      </w:r>
      <w:r>
        <w:rPr>
          <w:sz w:val="20"/>
        </w:rPr>
        <w:t>à</w:t>
      </w:r>
      <w:r>
        <w:rPr>
          <w:spacing w:val="20"/>
          <w:sz w:val="20"/>
        </w:rPr>
        <w:t> </w:t>
      </w:r>
      <w:r>
        <w:rPr>
          <w:sz w:val="20"/>
        </w:rPr>
        <w:t>aquisição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materiais,</w:t>
      </w:r>
      <w:r>
        <w:rPr>
          <w:spacing w:val="21"/>
          <w:sz w:val="20"/>
        </w:rPr>
        <w:t> </w:t>
      </w:r>
      <w:r>
        <w:rPr>
          <w:sz w:val="20"/>
        </w:rPr>
        <w:t>equipamentos</w:t>
      </w:r>
      <w:r>
        <w:rPr>
          <w:spacing w:val="21"/>
          <w:sz w:val="20"/>
        </w:rPr>
        <w:t> </w:t>
      </w:r>
      <w:r>
        <w:rPr>
          <w:sz w:val="20"/>
        </w:rPr>
        <w:t>e</w:t>
      </w:r>
      <w:r>
        <w:rPr>
          <w:spacing w:val="20"/>
          <w:sz w:val="20"/>
        </w:rPr>
        <w:t> </w:t>
      </w:r>
      <w:r>
        <w:rPr>
          <w:sz w:val="20"/>
        </w:rPr>
        <w:t>outros</w:t>
      </w:r>
      <w:r>
        <w:rPr>
          <w:spacing w:val="21"/>
          <w:sz w:val="20"/>
        </w:rPr>
        <w:t> </w:t>
      </w:r>
      <w:r>
        <w:rPr>
          <w:sz w:val="20"/>
        </w:rPr>
        <w:t>insumos</w:t>
      </w:r>
      <w:r>
        <w:rPr>
          <w:spacing w:val="21"/>
          <w:sz w:val="20"/>
        </w:rPr>
        <w:t> </w:t>
      </w:r>
      <w:r>
        <w:rPr>
          <w:sz w:val="20"/>
        </w:rPr>
        <w:t>especificamente</w:t>
      </w:r>
      <w:r>
        <w:rPr>
          <w:spacing w:val="20"/>
          <w:sz w:val="20"/>
        </w:rPr>
        <w:t> </w:t>
      </w:r>
      <w:r>
        <w:rPr>
          <w:sz w:val="20"/>
        </w:rPr>
        <w:t>relacionados</w:t>
      </w:r>
      <w:r>
        <w:rPr>
          <w:sz w:val="20"/>
        </w:rPr>
        <w:t> às atividades de inovação e pesquisa científica e tecnológica.</w:t>
      </w:r>
    </w:p>
    <w:p>
      <w:pPr>
        <w:pStyle w:val="BodyText"/>
        <w:spacing w:line="283" w:lineRule="auto" w:before="150"/>
        <w:ind w:left="117" w:right="234"/>
      </w:pPr>
      <w:r>
        <w:rPr>
          <w:rFonts w:ascii="Arial" w:hAnsi="Arial"/>
          <w:b/>
        </w:rPr>
        <w:t>9.2. </w:t>
      </w:r>
      <w:r>
        <w:rPr/>
        <w:t>O presente PDI não se enquadra em nenhum caso de vedação descrito nos incisos I a III do § 2o, Art. 2o, do Decreto no 7.423/10, ou seja, não se destina a atividades como manutenção predial ou infraestrutural, serviços administrativos de rotina ou realização de tarefas que não estejam definidas no Plano de Desenvolvimento Institucional da UFMG. O referido plano estabelece entre seus objetivos específicos e ações: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83" w:lineRule="auto" w:before="148" w:after="0"/>
        <w:ind w:left="117" w:right="588" w:firstLine="0"/>
        <w:jc w:val="left"/>
        <w:rPr>
          <w:sz w:val="20"/>
        </w:rPr>
      </w:pPr>
      <w:r>
        <w:rPr>
          <w:sz w:val="20"/>
        </w:rPr>
        <w:t>Promover melhorias </w:t>
      </w:r>
      <w:r>
        <w:rPr>
          <w:rFonts w:ascii="Arial" w:hAnsi="Arial"/>
          <w:i/>
          <w:sz w:val="20"/>
        </w:rPr>
        <w:t>às ações da Política de Infraestruturas de Pesquisa da UFMG visando à instalação e o aprimoramento das infraestruturas laboratoriais de elevada complexidade para uso comum, de forma a tornar a UFMG um polo de referência nacional nos temas abrangidos por essa infraestrutura</w:t>
      </w:r>
      <w:r>
        <w:rPr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241" w:val="left" w:leader="none"/>
        </w:tabs>
        <w:spacing w:line="283" w:lineRule="auto" w:before="149" w:after="0"/>
        <w:ind w:left="117" w:right="237" w:firstLine="0"/>
        <w:jc w:val="left"/>
        <w:rPr>
          <w:sz w:val="20"/>
        </w:rPr>
      </w:pPr>
      <w:r>
        <w:rPr>
          <w:rFonts w:ascii="Arial" w:hAnsi="Arial"/>
          <w:i/>
          <w:sz w:val="20"/>
        </w:rPr>
        <w:t>Modernizar a infraestrutura de pesquisa da UFMG, visando à abrangência de acesso intramuros e extramuros e o fomento à interdisciplinaridade.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147" w:after="0"/>
        <w:ind w:left="240" w:right="0" w:hanging="123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Estimular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criação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consolidação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grupos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pesquisa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emergentes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em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áreas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z w:val="20"/>
        </w:rPr>
        <w:t>interesse</w:t>
      </w:r>
      <w:r>
        <w:rPr>
          <w:rFonts w:ascii="Arial" w:hAnsi="Arial"/>
          <w:i/>
          <w:spacing w:val="2"/>
          <w:sz w:val="20"/>
        </w:rPr>
        <w:t> </w:t>
      </w:r>
      <w:r>
        <w:rPr>
          <w:rFonts w:ascii="Arial" w:hAnsi="Arial"/>
          <w:i/>
          <w:spacing w:val="-2"/>
          <w:sz w:val="20"/>
        </w:rPr>
        <w:t>estratégico.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48"/>
        <w:rPr>
          <w:rFonts w:ascii="Arial"/>
          <w:i/>
        </w:rPr>
      </w:pPr>
    </w:p>
    <w:p>
      <w:pPr>
        <w:pStyle w:val="Heading1"/>
        <w:numPr>
          <w:ilvl w:val="0"/>
          <w:numId w:val="1"/>
        </w:numPr>
        <w:tabs>
          <w:tab w:pos="454" w:val="left" w:leader="none"/>
        </w:tabs>
        <w:spacing w:line="240" w:lineRule="auto" w:before="0" w:after="0"/>
        <w:ind w:left="454" w:right="0" w:hanging="337"/>
        <w:jc w:val="left"/>
      </w:pPr>
      <w:r>
        <w:rPr/>
        <w:t>PRAZO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EXECUÇÃO</w:t>
      </w:r>
      <w:r>
        <w:rPr>
          <w:spacing w:val="4"/>
        </w:rPr>
        <w:t> </w:t>
      </w:r>
      <w:r>
        <w:rPr/>
        <w:t>DO</w:t>
      </w:r>
      <w:r>
        <w:rPr>
          <w:spacing w:val="4"/>
        </w:rPr>
        <w:t> </w:t>
      </w:r>
      <w:r>
        <w:rPr>
          <w:spacing w:val="-5"/>
        </w:rPr>
        <w:t>PDI</w:t>
      </w:r>
    </w:p>
    <w:p>
      <w:pPr>
        <w:pStyle w:val="Heading1"/>
        <w:spacing w:after="0" w:line="240" w:lineRule="auto"/>
        <w:jc w:val="left"/>
        <w:sectPr>
          <w:pgSz w:w="11900" w:h="16840"/>
          <w:pgMar w:header="0" w:footer="181" w:top="540" w:bottom="380" w:left="566" w:right="566"/>
        </w:sectPr>
      </w:pPr>
    </w:p>
    <w:p>
      <w:pPr>
        <w:pStyle w:val="BodyText"/>
        <w:spacing w:line="283" w:lineRule="auto" w:before="77"/>
        <w:ind w:left="117" w:right="234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473293</wp:posOffset>
            </wp:positionH>
            <wp:positionV relativeFrom="page">
              <wp:posOffset>4319338</wp:posOffset>
            </wp:positionV>
            <wp:extent cx="733431" cy="733431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31" cy="733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 prazo de vigência deste PDI é de 60 meses, podendo ser prorrogado em decorrência da avaliação de seus </w:t>
      </w:r>
      <w:r>
        <w:rPr>
          <w:spacing w:val="-2"/>
        </w:rPr>
        <w:t>resultados.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ind w:left="117"/>
      </w:pPr>
      <w:r>
        <w:rPr/>
        <w:t>Belo</w:t>
      </w:r>
      <w:r>
        <w:rPr>
          <w:spacing w:val="1"/>
        </w:rPr>
        <w:t> </w:t>
      </w:r>
      <w:r>
        <w:rPr/>
        <w:t>Horizonte,</w:t>
      </w:r>
      <w:r>
        <w:rPr>
          <w:spacing w:val="2"/>
        </w:rPr>
        <w:t> </w:t>
      </w:r>
      <w:r>
        <w:rPr/>
        <w:t>data</w:t>
      </w:r>
      <w:r>
        <w:rPr>
          <w:spacing w:val="1"/>
        </w:rPr>
        <w:t> </w:t>
      </w:r>
      <w:r>
        <w:rPr/>
        <w:t>da</w:t>
      </w:r>
      <w:r>
        <w:rPr>
          <w:spacing w:val="2"/>
        </w:rPr>
        <w:t> </w:t>
      </w:r>
      <w:r>
        <w:rPr/>
        <w:t>assinatura</w:t>
      </w:r>
      <w:r>
        <w:rPr>
          <w:spacing w:val="1"/>
        </w:rPr>
        <w:t> </w:t>
      </w:r>
      <w:r>
        <w:rPr>
          <w:spacing w:val="-2"/>
        </w:rPr>
        <w:t>eletrônica.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line="436" w:lineRule="auto"/>
        <w:ind w:left="117" w:right="6913"/>
      </w:pPr>
      <w:r>
        <w:rPr/>
        <w:t>Prof. Alessandro Fernandes Moreira Reitor da UFMG</w:t>
      </w:r>
    </w:p>
    <w:p>
      <w:pPr>
        <w:pStyle w:val="BodyText"/>
        <w:spacing w:before="189"/>
      </w:pPr>
    </w:p>
    <w:p>
      <w:pPr>
        <w:pStyle w:val="BodyText"/>
        <w:spacing w:line="436" w:lineRule="auto"/>
        <w:ind w:left="117" w:right="7605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455405</wp:posOffset>
            </wp:positionH>
            <wp:positionV relativeFrom="paragraph">
              <wp:posOffset>1219398</wp:posOffset>
            </wp:positionV>
            <wp:extent cx="797964" cy="53916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964" cy="53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Prof. Fernando Marcos dos Reis Pró-Reitor de Pesquisa da UFMG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433838</wp:posOffset>
                </wp:positionH>
                <wp:positionV relativeFrom="paragraph">
                  <wp:posOffset>177820</wp:posOffset>
                </wp:positionV>
                <wp:extent cx="6685915" cy="14604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685915" cy="14604"/>
                          <a:chExt cx="6685915" cy="1460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85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5915" h="7620">
                                <a:moveTo>
                                  <a:pt x="6678458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0" y="0"/>
                                </a:lnTo>
                                <a:lnTo>
                                  <a:pt x="6685647" y="0"/>
                                </a:lnTo>
                                <a:lnTo>
                                  <a:pt x="6678458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188"/>
                            <a:ext cx="6685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5915" h="7620">
                                <a:moveTo>
                                  <a:pt x="6685647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6685647" y="0"/>
                                </a:lnTo>
                                <a:lnTo>
                                  <a:pt x="6685647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0" y="14377"/>
                                </a:moveTo>
                                <a:lnTo>
                                  <a:pt x="0" y="0"/>
                                </a:lnTo>
                                <a:lnTo>
                                  <a:pt x="7188" y="0"/>
                                </a:lnTo>
                                <a:lnTo>
                                  <a:pt x="7188" y="7188"/>
                                </a:lnTo>
                                <a:lnTo>
                                  <a:pt x="0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678459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7188" y="14377"/>
                                </a:moveTo>
                                <a:lnTo>
                                  <a:pt x="0" y="14377"/>
                                </a:ln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7188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160526pt;margin-top:14.001623pt;width:526.450pt;height:1.150pt;mso-position-horizontal-relative:page;mso-position-vertical-relative:paragraph;z-index:-15728640;mso-wrap-distance-left:0;mso-wrap-distance-right:0" id="docshapegroup3" coordorigin="683,280" coordsize="10529,23">
                <v:shape style="position:absolute;left:683;top:280;width:10529;height:12" id="docshape4" coordorigin="683,280" coordsize="10529,12" path="m11200,291l683,291,683,280,11212,280,11200,291xe" filled="true" fillcolor="#999999" stroked="false">
                  <v:path arrowok="t"/>
                  <v:fill type="solid"/>
                </v:shape>
                <v:shape style="position:absolute;left:683;top:291;width:10529;height:12" id="docshape5" coordorigin="683,291" coordsize="10529,12" path="m11212,303l683,303,695,291,11212,291,11212,303xe" filled="true" fillcolor="#ededed" stroked="false">
                  <v:path arrowok="t"/>
                  <v:fill type="solid"/>
                </v:shape>
                <v:shape style="position:absolute;left:683;top:280;width:12;height:23" id="docshape6" coordorigin="683,280" coordsize="12,23" path="m683,303l683,280,695,280,695,291,683,303xe" filled="true" fillcolor="#999999" stroked="false">
                  <v:path arrowok="t"/>
                  <v:fill type="solid"/>
                </v:shape>
                <v:shape style="position:absolute;left:11200;top:280;width:12;height:23" id="docshape7" coordorigin="11200,280" coordsize="12,23" path="m11212,303l11200,303,11200,291,11212,280,11212,303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186"/>
        <w:ind w:left="1453" w:right="371"/>
      </w:pPr>
      <w:r>
        <w:rPr/>
        <w:t>Documento assinado eletronicamente por </w:t>
      </w:r>
      <w:r>
        <w:rPr>
          <w:rFonts w:ascii="Arial" w:hAnsi="Arial"/>
          <w:b/>
        </w:rPr>
        <w:t>Fernando Marcos dos Reis</w:t>
      </w:r>
      <w:r>
        <w:rPr/>
        <w:t>, </w:t>
      </w:r>
      <w:r>
        <w:rPr>
          <w:rFonts w:ascii="Arial" w:hAnsi="Arial"/>
          <w:b/>
        </w:rPr>
        <w:t>Pró-reitor(a)</w:t>
      </w:r>
      <w:r>
        <w:rPr/>
        <w:t>, em </w:t>
      </w:r>
      <w:hyperlink r:id="rId12">
        <w:r>
          <w:rPr/>
          <w:t>08/05/2026, às 12:49, conforme horário oficial de Brasília, com fundamento no art. 5º do </w:t>
        </w:r>
        <w:r>
          <w:rPr>
            <w:color w:val="0000ED"/>
            <w:u w:val="single" w:color="0000ED"/>
          </w:rPr>
          <w:t>Decreto nº</w:t>
        </w:r>
        <w:r>
          <w:rPr>
            <w:color w:val="0000ED"/>
          </w:rPr>
          <w:t> </w:t>
        </w:r>
        <w:r>
          <w:rPr>
            <w:color w:val="0000ED"/>
            <w:u w:val="single" w:color="0000ED"/>
          </w:rPr>
          <w:t>10.543, de 13 de novembro de 2020</w:t>
        </w:r>
        <w:r>
          <w:rPr/>
          <w:t>.</w:t>
        </w:r>
      </w:hyperlink>
    </w:p>
    <w:p>
      <w:pPr>
        <w:pStyle w:val="BodyText"/>
        <w:spacing w:before="6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433838</wp:posOffset>
                </wp:positionH>
                <wp:positionV relativeFrom="paragraph">
                  <wp:posOffset>84820</wp:posOffset>
                </wp:positionV>
                <wp:extent cx="6685915" cy="14604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685915" cy="14604"/>
                          <a:chExt cx="6685915" cy="14604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685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5915" h="7620">
                                <a:moveTo>
                                  <a:pt x="6678458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0" y="0"/>
                                </a:lnTo>
                                <a:lnTo>
                                  <a:pt x="6685647" y="0"/>
                                </a:lnTo>
                                <a:lnTo>
                                  <a:pt x="6678458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7188"/>
                            <a:ext cx="6685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5915" h="7620">
                                <a:moveTo>
                                  <a:pt x="6685647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6685647" y="0"/>
                                </a:lnTo>
                                <a:lnTo>
                                  <a:pt x="6685647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0" y="14377"/>
                                </a:moveTo>
                                <a:lnTo>
                                  <a:pt x="0" y="0"/>
                                </a:lnTo>
                                <a:lnTo>
                                  <a:pt x="7188" y="0"/>
                                </a:lnTo>
                                <a:lnTo>
                                  <a:pt x="7188" y="7188"/>
                                </a:lnTo>
                                <a:lnTo>
                                  <a:pt x="0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678459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7188" y="14377"/>
                                </a:moveTo>
                                <a:lnTo>
                                  <a:pt x="0" y="14377"/>
                                </a:ln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7188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160526pt;margin-top:6.678807pt;width:526.450pt;height:1.150pt;mso-position-horizontal-relative:page;mso-position-vertical-relative:paragraph;z-index:-15728128;mso-wrap-distance-left:0;mso-wrap-distance-right:0" id="docshapegroup8" coordorigin="683,134" coordsize="10529,23">
                <v:shape style="position:absolute;left:683;top:133;width:10529;height:12" id="docshape9" coordorigin="683,134" coordsize="10529,12" path="m11200,145l683,145,683,134,11212,134,11200,145xe" filled="true" fillcolor="#999999" stroked="false">
                  <v:path arrowok="t"/>
                  <v:fill type="solid"/>
                </v:shape>
                <v:shape style="position:absolute;left:683;top:144;width:10529;height:12" id="docshape10" coordorigin="683,145" coordsize="10529,12" path="m11212,156l683,156,695,145,11212,145,11212,156xe" filled="true" fillcolor="#ededed" stroked="false">
                  <v:path arrowok="t"/>
                  <v:fill type="solid"/>
                </v:shape>
                <v:shape style="position:absolute;left:683;top:133;width:12;height:23" id="docshape11" coordorigin="683,134" coordsize="12,23" path="m683,156l683,134,695,134,695,145,683,156xe" filled="true" fillcolor="#999999" stroked="false">
                  <v:path arrowok="t"/>
                  <v:fill type="solid"/>
                </v:shape>
                <v:shape style="position:absolute;left:11200;top:133;width:12;height:23" id="docshape12" coordorigin="11200,134" coordsize="12,23" path="m11212,156l11200,156,11200,145,11212,134,11212,156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220"/>
        <w:ind w:left="1407" w:right="371"/>
      </w:pPr>
      <w:r>
        <w:rPr/>
        <w:t>A autenticidade deste documento pode ser conferida no site </w:t>
      </w:r>
      <w:hyperlink r:id="rId13">
        <w:r>
          <w:rPr>
            <w:color w:val="0000ED"/>
            <w:spacing w:val="-2"/>
            <w:u w:val="single" w:color="0000ED"/>
          </w:rPr>
          <w:t>https://sei.ufmg.br/sei/controlador_externo.php?</w:t>
        </w:r>
        <w:r>
          <w:rPr>
            <w:color w:val="0000ED"/>
            <w:spacing w:val="-2"/>
          </w:rPr>
          <w:t> </w:t>
        </w:r>
        <w:r>
          <w:rPr>
            <w:color w:val="0000ED"/>
            <w:u w:val="single" w:color="0000ED"/>
          </w:rPr>
          <w:t>acao=documento_conferir&amp;id_orgao_acesso_externo=0</w:t>
        </w:r>
      </w:hyperlink>
      <w:r>
        <w:rPr/>
        <w:t>, informando o código verificador </w:t>
      </w:r>
      <w:r>
        <w:rPr>
          <w:rFonts w:ascii="Arial" w:hAnsi="Arial"/>
          <w:b/>
        </w:rPr>
        <w:t>5105930 </w:t>
      </w:r>
      <w:r>
        <w:rPr/>
        <w:t>e</w:t>
      </w:r>
      <w:r>
        <w:rPr>
          <w:spacing w:val="40"/>
        </w:rPr>
        <w:t> </w:t>
      </w:r>
      <w:r>
        <w:rPr/>
        <w:t>o código CRC </w:t>
      </w:r>
      <w:r>
        <w:rPr>
          <w:rFonts w:ascii="Arial" w:hAnsi="Arial"/>
          <w:b/>
        </w:rPr>
        <w:t>0E5B7EB0</w:t>
      </w:r>
      <w:r>
        <w:rPr/>
        <w:t>.</w:t>
      </w:r>
    </w:p>
    <w:p>
      <w:pPr>
        <w:pStyle w:val="BodyText"/>
        <w:spacing w:before="6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441027</wp:posOffset>
                </wp:positionH>
                <wp:positionV relativeFrom="paragraph">
                  <wp:posOffset>114100</wp:posOffset>
                </wp:positionV>
                <wp:extent cx="6671309" cy="14604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671309" cy="14604"/>
                          <a:chExt cx="6671309" cy="14604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7130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1309" h="7620">
                                <a:moveTo>
                                  <a:pt x="6664081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0" y="0"/>
                                </a:lnTo>
                                <a:lnTo>
                                  <a:pt x="6671269" y="0"/>
                                </a:lnTo>
                                <a:lnTo>
                                  <a:pt x="6664081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7188"/>
                            <a:ext cx="667130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1309" h="7620">
                                <a:moveTo>
                                  <a:pt x="6671269" y="7188"/>
                                </a:move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6671269" y="0"/>
                                </a:lnTo>
                                <a:lnTo>
                                  <a:pt x="6671269" y="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0" y="14377"/>
                                </a:moveTo>
                                <a:lnTo>
                                  <a:pt x="0" y="0"/>
                                </a:lnTo>
                                <a:lnTo>
                                  <a:pt x="7188" y="0"/>
                                </a:lnTo>
                                <a:lnTo>
                                  <a:pt x="7188" y="7188"/>
                                </a:lnTo>
                                <a:lnTo>
                                  <a:pt x="0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664080" y="0"/>
                            <a:ext cx="762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4604">
                                <a:moveTo>
                                  <a:pt x="7188" y="14377"/>
                                </a:moveTo>
                                <a:lnTo>
                                  <a:pt x="0" y="14377"/>
                                </a:lnTo>
                                <a:lnTo>
                                  <a:pt x="0" y="7188"/>
                                </a:lnTo>
                                <a:lnTo>
                                  <a:pt x="7188" y="0"/>
                                </a:lnTo>
                                <a:lnTo>
                                  <a:pt x="7188" y="14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726578pt;margin-top:8.984287pt;width:525.3pt;height:1.150pt;mso-position-horizontal-relative:page;mso-position-vertical-relative:paragraph;z-index:-15727616;mso-wrap-distance-left:0;mso-wrap-distance-right:0" id="docshapegroup13" coordorigin="695,180" coordsize="10506,23">
                <v:shape style="position:absolute;left:694;top:179;width:10506;height:12" id="docshape14" coordorigin="695,180" coordsize="10506,12" path="m11189,191l695,191,695,180,11200,180,11189,191xe" filled="true" fillcolor="#999999" stroked="false">
                  <v:path arrowok="t"/>
                  <v:fill type="solid"/>
                </v:shape>
                <v:shape style="position:absolute;left:694;top:191;width:10506;height:12" id="docshape15" coordorigin="695,191" coordsize="10506,12" path="m11200,202l695,202,706,191,11200,191,11200,202xe" filled="true" fillcolor="#ededed" stroked="false">
                  <v:path arrowok="t"/>
                  <v:fill type="solid"/>
                </v:shape>
                <v:shape style="position:absolute;left:694;top:179;width:12;height:23" id="docshape16" coordorigin="695,180" coordsize="12,23" path="m695,202l695,180,706,180,706,191,695,202xe" filled="true" fillcolor="#999999" stroked="false">
                  <v:path arrowok="t"/>
                  <v:fill type="solid"/>
                </v:shape>
                <v:shape style="position:absolute;left:11189;top:179;width:12;height:23" id="docshape17" coordorigin="11189,180" coordsize="12,23" path="m11200,202l11189,202,11189,191,11200,180,11200,202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448208</wp:posOffset>
                </wp:positionH>
                <wp:positionV relativeFrom="paragraph">
                  <wp:posOffset>351340</wp:posOffset>
                </wp:positionV>
                <wp:extent cx="6657340" cy="2159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657340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7340" h="21590">
                              <a:moveTo>
                                <a:pt x="6656895" y="14376"/>
                              </a:moveTo>
                              <a:lnTo>
                                <a:pt x="0" y="14376"/>
                              </a:lnTo>
                              <a:lnTo>
                                <a:pt x="0" y="21564"/>
                              </a:lnTo>
                              <a:lnTo>
                                <a:pt x="6656895" y="21564"/>
                              </a:lnTo>
                              <a:lnTo>
                                <a:pt x="6656895" y="14376"/>
                              </a:lnTo>
                              <a:close/>
                            </a:path>
                            <a:path w="6657340" h="21590">
                              <a:moveTo>
                                <a:pt x="6656895" y="0"/>
                              </a:moveTo>
                              <a:lnTo>
                                <a:pt x="0" y="0"/>
                              </a:lnTo>
                              <a:lnTo>
                                <a:pt x="0" y="7188"/>
                              </a:lnTo>
                              <a:lnTo>
                                <a:pt x="6656895" y="7188"/>
                              </a:lnTo>
                              <a:lnTo>
                                <a:pt x="6656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92pt;margin-top:27.664583pt;width:524.2pt;height:1.7pt;mso-position-horizontal-relative:page;mso-position-vertical-relative:paragraph;z-index:-15727104;mso-wrap-distance-left:0;mso-wrap-distance-right:0" id="docshape18" coordorigin="706,553" coordsize="10484,34" path="m11189,576l706,576,706,587,11189,587,11189,576xm11189,553l706,553,706,565,11189,565,11189,553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6"/>
      </w:pPr>
    </w:p>
    <w:p>
      <w:pPr>
        <w:tabs>
          <w:tab w:pos="9445" w:val="left" w:leader="none"/>
        </w:tabs>
        <w:spacing w:before="21"/>
        <w:ind w:left="139" w:right="0" w:firstLine="0"/>
        <w:jc w:val="left"/>
        <w:rPr>
          <w:sz w:val="17"/>
        </w:rPr>
      </w:pPr>
      <w:r>
        <w:rPr>
          <w:rFonts w:ascii="Arial" w:hAnsi="Arial"/>
          <w:b/>
          <w:sz w:val="17"/>
        </w:rPr>
        <w:t>Referência:</w:t>
      </w:r>
      <w:r>
        <w:rPr>
          <w:rFonts w:ascii="Arial" w:hAnsi="Arial"/>
          <w:b/>
          <w:spacing w:val="-8"/>
          <w:sz w:val="17"/>
        </w:rPr>
        <w:t> </w:t>
      </w:r>
      <w:r>
        <w:rPr>
          <w:sz w:val="17"/>
        </w:rPr>
        <w:t>Processo</w:t>
      </w:r>
      <w:r>
        <w:rPr>
          <w:spacing w:val="-12"/>
          <w:sz w:val="17"/>
        </w:rPr>
        <w:t> </w:t>
      </w:r>
      <w:r>
        <w:rPr>
          <w:sz w:val="17"/>
        </w:rPr>
        <w:t>nº</w:t>
      </w:r>
      <w:r>
        <w:rPr>
          <w:spacing w:val="-11"/>
          <w:sz w:val="17"/>
        </w:rPr>
        <w:t> </w:t>
      </w:r>
      <w:r>
        <w:rPr>
          <w:sz w:val="17"/>
        </w:rPr>
        <w:t>23072.241992/2025-</w:t>
      </w:r>
      <w:r>
        <w:rPr>
          <w:spacing w:val="-5"/>
          <w:sz w:val="17"/>
        </w:rPr>
        <w:t>41</w:t>
      </w:r>
      <w:r>
        <w:rPr>
          <w:sz w:val="17"/>
        </w:rPr>
        <w:tab/>
        <w:t>SEI</w:t>
      </w:r>
      <w:r>
        <w:rPr>
          <w:spacing w:val="-5"/>
          <w:sz w:val="17"/>
        </w:rPr>
        <w:t> </w:t>
      </w:r>
      <w:r>
        <w:rPr>
          <w:sz w:val="17"/>
        </w:rPr>
        <w:t>nº</w:t>
      </w:r>
      <w:r>
        <w:rPr>
          <w:spacing w:val="-2"/>
          <w:sz w:val="17"/>
        </w:rPr>
        <w:t> 5105930</w:t>
      </w:r>
    </w:p>
    <w:sectPr>
      <w:pgSz w:w="11900" w:h="16840"/>
      <w:pgMar w:header="0" w:footer="181" w:top="52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40032">
              <wp:simplePos x="0" y="0"/>
              <wp:positionH relativeFrom="page">
                <wp:posOffset>2169858</wp:posOffset>
              </wp:positionH>
              <wp:positionV relativeFrom="page">
                <wp:posOffset>10438730</wp:posOffset>
              </wp:positionV>
              <wp:extent cx="95758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575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Projeto </w:t>
                          </w:r>
                          <w:r>
                            <w:rPr>
                              <w:color w:val="BEBEBE"/>
                              <w:spacing w:val="-2"/>
                            </w:rPr>
                            <w:t>5105930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0.855011pt;margin-top:821.947266pt;width:75.4pt;height:13.2pt;mso-position-horizontal-relative:page;mso-position-vertical-relative:page;z-index:-1597644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Projeto </w:t>
                    </w:r>
                    <w:r>
                      <w:rPr>
                        <w:color w:val="BEBEBE"/>
                        <w:spacing w:val="-2"/>
                      </w:rPr>
                      <w:t>5105930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40544">
              <wp:simplePos x="0" y="0"/>
              <wp:positionH relativeFrom="page">
                <wp:posOffset>3419518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SEI 23072.241992/2025-41 / pg. 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9.253448pt;margin-top:821.947266pt;width:157.950pt;height:13.2pt;mso-position-horizontal-relative:page;mso-position-vertical-relative:page;z-index:-1597593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SEI 23072.241992/2025-41 / pg. </w:t>
                    </w:r>
                    <w:r>
                      <w:rPr>
                        <w:color w:val="BEBEBE"/>
                        <w:spacing w:val="-1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</w:rPr>
                      <w:t>1</w:t>
                    </w:r>
                    <w:r>
                      <w:rPr>
                        <w:color w:val="BEBEBE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17" w:hanging="125"/>
      </w:pPr>
      <w:rPr>
        <w:rFonts w:hint="default" w:ascii="Arial MT" w:hAnsi="Arial MT" w:eastAsia="Arial MT" w:cs="Arial MT"/>
        <w:spacing w:val="0"/>
        <w:w w:val="101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4" w:hanging="12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9" w:hanging="12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4" w:hanging="12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9" w:hanging="12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44" w:hanging="12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8" w:hanging="12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73" w:hanging="12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8" w:hanging="125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43" w:hanging="227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1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7" w:hanging="340"/>
        <w:jc w:val="left"/>
      </w:pPr>
      <w:rPr>
        <w:rFonts w:hint="default"/>
        <w:spacing w:val="-1"/>
        <w:w w:val="101"/>
        <w:lang w:val="pt-PT" w:eastAsia="en-US" w:bidi="ar-SA"/>
      </w:rPr>
    </w:lvl>
    <w:lvl w:ilvl="2">
      <w:start w:val="0"/>
      <w:numFmt w:val="bullet"/>
      <w:lvlText w:val="-"/>
      <w:lvlJc w:val="left"/>
      <w:pPr>
        <w:ind w:left="117" w:hanging="34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1"/>
        <w:sz w:val="20"/>
        <w:szCs w:val="20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48" w:hanging="34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037" w:hanging="34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5" w:hanging="34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14" w:hanging="34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02" w:hanging="34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91" w:hanging="34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42" w:hanging="225"/>
      <w:outlineLvl w:val="1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07"/>
      <w:ind w:right="1"/>
      <w:jc w:val="center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17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5"/>
      <w:ind w:left="1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www.ufmg.br/proplan/wp-content/uploads/2025/04/exerc_2024_relatorio_gestao2025.pdf" TargetMode="External"/><Relationship Id="rId8" Type="http://schemas.openxmlformats.org/officeDocument/2006/relationships/hyperlink" Target="https://www.ufmg.br/pdi/2024-2029/wp-content/uploads/2024/07/PDI-2024-2029_V7.pdf" TargetMode="External"/><Relationship Id="rId9" Type="http://schemas.openxmlformats.org/officeDocument/2006/relationships/hyperlink" Target="http://legislacao.planalto.gov.br/legisla/legislacao.nsf/Viw_Identificacao/lei%2013.243-2016?OpenDocument" TargetMode="External"/><Relationship Id="rId10" Type="http://schemas.openxmlformats.org/officeDocument/2006/relationships/image" Target="media/image2.png"/><Relationship Id="rId11" Type="http://schemas.openxmlformats.org/officeDocument/2006/relationships/image" Target="media/image3.jpeg"/><Relationship Id="rId12" Type="http://schemas.openxmlformats.org/officeDocument/2006/relationships/hyperlink" Target="http://www.planalto.gov.br/ccivil_03/_Ato2019-2022/2020/Decreto/D10543.htm" TargetMode="External"/><Relationship Id="rId13" Type="http://schemas.openxmlformats.org/officeDocument/2006/relationships/hyperlink" Target="https://sei.ufmg.br/sei/controlador_externo.php?acao=documento_conferir&amp;id_orgao_acesso_externo=0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23072.241992/2025-41</dc:title>
  <dcterms:created xsi:type="dcterms:W3CDTF">2026-05-18T18:31:03Z</dcterms:created>
  <dcterms:modified xsi:type="dcterms:W3CDTF">2026-05-18T18:31:03Z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2026-05-14T00:00:00Z</vt:filetime>
  </property>
</Properties>
</file>